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13A" w:rsidRPr="00B1613A" w:rsidRDefault="00B1613A" w:rsidP="00B1613A">
      <w:pPr>
        <w:spacing w:after="0" w:line="240" w:lineRule="auto"/>
        <w:jc w:val="right"/>
        <w:rPr>
          <w:rFonts w:ascii="Arial" w:eastAsia="Times New Roman" w:hAnsi="Arial" w:cs="Arial"/>
          <w:sz w:val="18"/>
          <w:szCs w:val="18"/>
        </w:rPr>
      </w:pPr>
      <w:r w:rsidRPr="00B1613A">
        <w:rPr>
          <w:rFonts w:ascii="Arial" w:eastAsia="Times New Roman" w:hAnsi="Arial" w:cs="Arial"/>
          <w:color w:val="000000"/>
          <w:sz w:val="18"/>
          <w:szCs w:val="18"/>
        </w:rPr>
        <w:t xml:space="preserve">                                        </w:t>
      </w:r>
      <w:proofErr w:type="spellStart"/>
      <w:r w:rsidRPr="00B1613A">
        <w:rPr>
          <w:rFonts w:ascii="Arial" w:eastAsia="Times New Roman" w:hAnsi="Arial" w:cs="Arial"/>
          <w:color w:val="000000"/>
          <w:sz w:val="18"/>
          <w:szCs w:val="18"/>
        </w:rPr>
        <w:t>Mana</w:t>
      </w:r>
      <w:proofErr w:type="spellEnd"/>
      <w:r w:rsidRPr="00B1613A">
        <w:rPr>
          <w:rFonts w:ascii="Arial" w:eastAsia="Times New Roman" w:hAnsi="Arial" w:cs="Arial"/>
          <w:color w:val="000000"/>
          <w:sz w:val="18"/>
          <w:szCs w:val="18"/>
        </w:rPr>
        <w:t xml:space="preserve"> </w:t>
      </w:r>
      <w:proofErr w:type="spellStart"/>
      <w:r w:rsidRPr="00B1613A">
        <w:rPr>
          <w:rFonts w:ascii="Arial" w:eastAsia="Times New Roman" w:hAnsi="Arial" w:cs="Arial"/>
          <w:color w:val="000000"/>
          <w:sz w:val="18"/>
          <w:szCs w:val="18"/>
        </w:rPr>
        <w:t>Pirnia</w:t>
      </w:r>
      <w:proofErr w:type="spellEnd"/>
    </w:p>
    <w:p w:rsidR="00B1613A" w:rsidRPr="00B1613A" w:rsidRDefault="00B1613A" w:rsidP="00B1613A">
      <w:pPr>
        <w:spacing w:after="0" w:line="240" w:lineRule="auto"/>
        <w:jc w:val="right"/>
        <w:rPr>
          <w:rFonts w:ascii="Arial" w:eastAsia="Times New Roman" w:hAnsi="Arial" w:cs="Arial"/>
          <w:sz w:val="18"/>
          <w:szCs w:val="18"/>
        </w:rPr>
      </w:pPr>
      <w:r w:rsidRPr="00B1613A">
        <w:rPr>
          <w:rFonts w:ascii="Arial" w:eastAsia="Times New Roman" w:hAnsi="Arial" w:cs="Arial"/>
          <w:color w:val="000000"/>
          <w:sz w:val="18"/>
          <w:szCs w:val="18"/>
        </w:rPr>
        <w:t>                                        11/17/14</w:t>
      </w:r>
    </w:p>
    <w:p w:rsidR="00B1613A" w:rsidRPr="00B1613A" w:rsidRDefault="00B1613A" w:rsidP="00B1613A">
      <w:pPr>
        <w:spacing w:after="0" w:line="240" w:lineRule="auto"/>
        <w:rPr>
          <w:rFonts w:ascii="Arial" w:eastAsia="Times New Roman" w:hAnsi="Arial" w:cs="Arial"/>
          <w:sz w:val="18"/>
          <w:szCs w:val="18"/>
        </w:rPr>
      </w:pPr>
    </w:p>
    <w:p w:rsidR="00B1613A" w:rsidRPr="00B1613A" w:rsidRDefault="00B1613A" w:rsidP="00B1613A">
      <w:pPr>
        <w:spacing w:after="0" w:line="240" w:lineRule="auto"/>
        <w:jc w:val="center"/>
        <w:rPr>
          <w:rFonts w:ascii="Arial" w:eastAsia="Times New Roman" w:hAnsi="Arial" w:cs="Arial"/>
          <w:sz w:val="18"/>
          <w:szCs w:val="18"/>
        </w:rPr>
      </w:pPr>
      <w:r w:rsidRPr="00B1613A">
        <w:rPr>
          <w:rFonts w:ascii="Arial" w:eastAsia="Times New Roman" w:hAnsi="Arial" w:cs="Arial"/>
          <w:color w:val="000000"/>
          <w:sz w:val="18"/>
          <w:szCs w:val="18"/>
        </w:rPr>
        <w:t>Hepatitis B</w:t>
      </w:r>
    </w:p>
    <w:p w:rsidR="00B1613A" w:rsidRPr="00B1613A" w:rsidRDefault="00B1613A" w:rsidP="00B1613A">
      <w:pPr>
        <w:spacing w:after="0" w:line="240" w:lineRule="auto"/>
        <w:rPr>
          <w:rFonts w:ascii="Arial" w:eastAsia="Times New Roman" w:hAnsi="Arial" w:cs="Arial"/>
          <w:sz w:val="18"/>
          <w:szCs w:val="18"/>
        </w:rPr>
      </w:pPr>
    </w:p>
    <w:p w:rsidR="00614F9E" w:rsidRPr="004B1D4C" w:rsidRDefault="007F189F" w:rsidP="00B1613A">
      <w:pPr>
        <w:spacing w:after="0" w:line="240" w:lineRule="auto"/>
        <w:rPr>
          <w:rFonts w:ascii="Arial" w:eastAsia="Times New Roman" w:hAnsi="Arial" w:cs="Arial"/>
          <w:color w:val="000000"/>
          <w:sz w:val="18"/>
          <w:szCs w:val="18"/>
        </w:rPr>
      </w:pPr>
      <w:r w:rsidRPr="004B1D4C">
        <w:rPr>
          <w:rFonts w:ascii="Arial" w:eastAsia="Times New Roman" w:hAnsi="Arial" w:cs="Arial"/>
          <w:color w:val="000000"/>
          <w:sz w:val="18"/>
          <w:szCs w:val="18"/>
        </w:rPr>
        <w:t>Hepatitis B</w:t>
      </w:r>
      <w:r w:rsidR="00614F9E" w:rsidRPr="004B1D4C">
        <w:rPr>
          <w:rFonts w:ascii="Arial" w:eastAsia="Times New Roman" w:hAnsi="Arial" w:cs="Arial"/>
          <w:color w:val="000000"/>
          <w:sz w:val="18"/>
          <w:szCs w:val="18"/>
        </w:rPr>
        <w:t xml:space="preserve"> (HBV)</w:t>
      </w:r>
      <w:r w:rsidRPr="004B1D4C">
        <w:rPr>
          <w:rFonts w:ascii="Arial" w:eastAsia="Times New Roman" w:hAnsi="Arial" w:cs="Arial"/>
          <w:color w:val="000000"/>
          <w:sz w:val="18"/>
          <w:szCs w:val="18"/>
        </w:rPr>
        <w:t xml:space="preserve">: </w:t>
      </w:r>
      <w:r w:rsidR="00614F9E" w:rsidRPr="004B1D4C">
        <w:rPr>
          <w:rFonts w:ascii="Arial" w:eastAsia="Times New Roman" w:hAnsi="Arial" w:cs="Arial"/>
          <w:color w:val="000000"/>
          <w:sz w:val="18"/>
          <w:szCs w:val="18"/>
        </w:rPr>
        <w:t xml:space="preserve">A </w:t>
      </w:r>
      <w:r w:rsidRPr="004B1D4C">
        <w:rPr>
          <w:rFonts w:ascii="Arial" w:eastAsia="Times New Roman" w:hAnsi="Arial" w:cs="Arial"/>
          <w:color w:val="000000"/>
          <w:sz w:val="18"/>
          <w:szCs w:val="18"/>
        </w:rPr>
        <w:t xml:space="preserve">double-stranded DNA virus belonging to the family of </w:t>
      </w:r>
      <w:proofErr w:type="spellStart"/>
      <w:r w:rsidRPr="004B1D4C">
        <w:rPr>
          <w:rFonts w:ascii="Arial" w:eastAsia="Times New Roman" w:hAnsi="Arial" w:cs="Arial"/>
          <w:color w:val="000000"/>
          <w:sz w:val="18"/>
          <w:szCs w:val="18"/>
        </w:rPr>
        <w:t>hepadnaviruses</w:t>
      </w:r>
      <w:proofErr w:type="spellEnd"/>
      <w:r w:rsidRPr="004B1D4C">
        <w:rPr>
          <w:rFonts w:ascii="Arial" w:eastAsia="Times New Roman" w:hAnsi="Arial" w:cs="Arial"/>
          <w:color w:val="000000"/>
          <w:sz w:val="18"/>
          <w:szCs w:val="18"/>
        </w:rPr>
        <w:t>, which include duck hepatitis virus, woodchuck hepatitis virus, and ground squirrel hepatitis virus.</w:t>
      </w:r>
      <w:r w:rsidR="00614F9E" w:rsidRPr="004B1D4C">
        <w:rPr>
          <w:rFonts w:ascii="Arial" w:eastAsia="Times New Roman" w:hAnsi="Arial" w:cs="Arial"/>
          <w:color w:val="000000"/>
          <w:sz w:val="18"/>
          <w:szCs w:val="18"/>
        </w:rPr>
        <w:t xml:space="preserve"> It has 8 genotypes, varying geographically. There are more than 300 million HBV carriers worldwide, and 500,000 die annually from HBV-related liver disease. </w:t>
      </w:r>
    </w:p>
    <w:p w:rsidR="00614F9E" w:rsidRPr="004B1D4C" w:rsidRDefault="00614F9E" w:rsidP="00B1613A">
      <w:pPr>
        <w:spacing w:after="0" w:line="240" w:lineRule="auto"/>
        <w:rPr>
          <w:rFonts w:ascii="Arial" w:eastAsia="Times New Roman" w:hAnsi="Arial" w:cs="Arial"/>
          <w:color w:val="000000"/>
          <w:sz w:val="18"/>
          <w:szCs w:val="18"/>
        </w:rPr>
      </w:pPr>
    </w:p>
    <w:p w:rsidR="00B1613A" w:rsidRPr="00B1613A" w:rsidRDefault="007F189F" w:rsidP="00B1613A">
      <w:pPr>
        <w:spacing w:after="0" w:line="240" w:lineRule="auto"/>
        <w:rPr>
          <w:rFonts w:ascii="Arial" w:eastAsia="Times New Roman" w:hAnsi="Arial" w:cs="Arial"/>
          <w:b/>
          <w:sz w:val="18"/>
          <w:szCs w:val="18"/>
        </w:rPr>
      </w:pPr>
      <w:r w:rsidRPr="004B1D4C">
        <w:rPr>
          <w:rFonts w:ascii="Arial" w:eastAsia="Times New Roman" w:hAnsi="Arial" w:cs="Arial"/>
          <w:b/>
          <w:color w:val="000000"/>
          <w:sz w:val="18"/>
          <w:szCs w:val="18"/>
        </w:rPr>
        <w:t>W</w:t>
      </w:r>
      <w:r w:rsidR="00B1613A" w:rsidRPr="00B1613A">
        <w:rPr>
          <w:rFonts w:ascii="Arial" w:eastAsia="Times New Roman" w:hAnsi="Arial" w:cs="Arial"/>
          <w:b/>
          <w:color w:val="000000"/>
          <w:sz w:val="18"/>
          <w:szCs w:val="18"/>
        </w:rPr>
        <w:t xml:space="preserve">ho to test: </w:t>
      </w:r>
    </w:p>
    <w:p w:rsidR="00B1613A" w:rsidRPr="00B1613A" w:rsidRDefault="00B1613A" w:rsidP="00B1613A">
      <w:pPr>
        <w:numPr>
          <w:ilvl w:val="0"/>
          <w:numId w:val="1"/>
        </w:numPr>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rPr>
        <w:t xml:space="preserve">Signs/symptoms of acute hepatitis. </w:t>
      </w:r>
    </w:p>
    <w:p w:rsidR="00B1613A" w:rsidRPr="00B1613A" w:rsidRDefault="00B1613A" w:rsidP="00B1613A">
      <w:pPr>
        <w:numPr>
          <w:ilvl w:val="0"/>
          <w:numId w:val="1"/>
        </w:numPr>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rPr>
        <w:t xml:space="preserve">Chronically elevated ALT/AST. </w:t>
      </w:r>
    </w:p>
    <w:p w:rsidR="00B1613A" w:rsidRPr="00B1613A" w:rsidRDefault="00B1613A" w:rsidP="00B1613A">
      <w:pPr>
        <w:numPr>
          <w:ilvl w:val="0"/>
          <w:numId w:val="1"/>
        </w:numPr>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rPr>
        <w:t>Countries with HBV prevalence ≥2% (</w:t>
      </w:r>
      <w:r w:rsidRPr="00B1613A">
        <w:rPr>
          <w:rFonts w:ascii="Arial" w:eastAsia="Times New Roman" w:hAnsi="Arial" w:cs="Arial"/>
          <w:color w:val="000000"/>
          <w:sz w:val="18"/>
          <w:szCs w:val="18"/>
          <w:shd w:val="clear" w:color="auto" w:fill="FFFFFF"/>
        </w:rPr>
        <w:t>Africa, East Asia including China, Korea, Indonesia, and the Philippines, the Middle East except Israel, south and Western Pacific islands, the interior Amazon River basin, and certain parts of the Caribbean (Haiti and the Dominican Republic</w:t>
      </w:r>
      <w:r w:rsidRPr="00B1613A">
        <w:rPr>
          <w:rFonts w:ascii="Arial" w:eastAsia="Times New Roman" w:hAnsi="Arial" w:cs="Arial"/>
          <w:color w:val="000000"/>
          <w:sz w:val="18"/>
          <w:szCs w:val="18"/>
        </w:rPr>
        <w:t>)</w:t>
      </w:r>
    </w:p>
    <w:p w:rsidR="00B1613A" w:rsidRPr="00B1613A" w:rsidRDefault="00B1613A" w:rsidP="00B1613A">
      <w:pPr>
        <w:numPr>
          <w:ilvl w:val="0"/>
          <w:numId w:val="1"/>
        </w:numPr>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rPr>
        <w:t>Pregnant women</w:t>
      </w:r>
    </w:p>
    <w:p w:rsidR="00B1613A" w:rsidRPr="00B1613A" w:rsidRDefault="00B1613A" w:rsidP="00B1613A">
      <w:pPr>
        <w:numPr>
          <w:ilvl w:val="0"/>
          <w:numId w:val="1"/>
        </w:numPr>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rPr>
        <w:t>Immunosuppressive therapy (</w:t>
      </w:r>
      <w:proofErr w:type="spellStart"/>
      <w:r w:rsidRPr="00B1613A">
        <w:rPr>
          <w:rFonts w:ascii="Arial" w:eastAsia="Times New Roman" w:hAnsi="Arial" w:cs="Arial"/>
          <w:color w:val="000000"/>
          <w:sz w:val="18"/>
          <w:szCs w:val="18"/>
        </w:rPr>
        <w:t>rituximab</w:t>
      </w:r>
      <w:proofErr w:type="spellEnd"/>
      <w:r w:rsidRPr="00B1613A">
        <w:rPr>
          <w:rFonts w:ascii="Arial" w:eastAsia="Times New Roman" w:hAnsi="Arial" w:cs="Arial"/>
          <w:color w:val="000000"/>
          <w:sz w:val="18"/>
          <w:szCs w:val="18"/>
        </w:rPr>
        <w:t xml:space="preserve">, chemo with corticosteroids, </w:t>
      </w:r>
      <w:proofErr w:type="spellStart"/>
      <w:r w:rsidRPr="00B1613A">
        <w:rPr>
          <w:rFonts w:ascii="Arial" w:eastAsia="Times New Roman" w:hAnsi="Arial" w:cs="Arial"/>
          <w:color w:val="000000"/>
          <w:sz w:val="18"/>
          <w:szCs w:val="18"/>
        </w:rPr>
        <w:t>infliximab</w:t>
      </w:r>
      <w:proofErr w:type="spellEnd"/>
      <w:r w:rsidRPr="00B1613A">
        <w:rPr>
          <w:rFonts w:ascii="Arial" w:eastAsia="Times New Roman" w:hAnsi="Arial" w:cs="Arial"/>
          <w:color w:val="000000"/>
          <w:sz w:val="18"/>
          <w:szCs w:val="18"/>
        </w:rPr>
        <w:t xml:space="preserve">). </w:t>
      </w:r>
    </w:p>
    <w:p w:rsidR="00B1613A" w:rsidRPr="00B1613A" w:rsidRDefault="00B1613A" w:rsidP="00B1613A">
      <w:pPr>
        <w:numPr>
          <w:ilvl w:val="0"/>
          <w:numId w:val="1"/>
        </w:numPr>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rPr>
        <w:t xml:space="preserve">Also: Persons born in US but parents from countries with HBV prevalence ≥8%, </w:t>
      </w:r>
      <w:r w:rsidR="008F186D" w:rsidRPr="004B1D4C">
        <w:rPr>
          <w:rFonts w:ascii="Arial" w:eastAsia="Times New Roman" w:hAnsi="Arial" w:cs="Arial"/>
          <w:color w:val="000000"/>
          <w:sz w:val="18"/>
          <w:szCs w:val="18"/>
        </w:rPr>
        <w:t xml:space="preserve">those with </w:t>
      </w:r>
      <w:r w:rsidRPr="00B1613A">
        <w:rPr>
          <w:rFonts w:ascii="Arial" w:eastAsia="Times New Roman" w:hAnsi="Arial" w:cs="Arial"/>
          <w:color w:val="000000"/>
          <w:sz w:val="18"/>
          <w:szCs w:val="18"/>
        </w:rPr>
        <w:t xml:space="preserve">HIV or HCV, MSM, inmates at correctional facilities, close contacts of patients with HBV, </w:t>
      </w:r>
      <w:proofErr w:type="spellStart"/>
      <w:r w:rsidRPr="00B1613A">
        <w:rPr>
          <w:rFonts w:ascii="Arial" w:eastAsia="Times New Roman" w:hAnsi="Arial" w:cs="Arial"/>
          <w:color w:val="000000"/>
          <w:sz w:val="18"/>
          <w:szCs w:val="18"/>
        </w:rPr>
        <w:t>hemodialysis</w:t>
      </w:r>
      <w:proofErr w:type="spellEnd"/>
      <w:r w:rsidRPr="00B1613A">
        <w:rPr>
          <w:rFonts w:ascii="Arial" w:eastAsia="Times New Roman" w:hAnsi="Arial" w:cs="Arial"/>
          <w:color w:val="000000"/>
          <w:sz w:val="18"/>
          <w:szCs w:val="18"/>
        </w:rPr>
        <w:t xml:space="preserve"> pts. </w:t>
      </w:r>
    </w:p>
    <w:p w:rsidR="00B1613A" w:rsidRPr="00B1613A" w:rsidRDefault="00B1613A" w:rsidP="00B1613A">
      <w:pPr>
        <w:spacing w:after="0" w:line="240" w:lineRule="auto"/>
        <w:rPr>
          <w:rFonts w:ascii="Arial" w:eastAsia="Times New Roman" w:hAnsi="Arial" w:cs="Arial"/>
          <w:sz w:val="18"/>
          <w:szCs w:val="18"/>
        </w:rPr>
      </w:pPr>
    </w:p>
    <w:p w:rsidR="00B1613A" w:rsidRPr="004B1D4C" w:rsidRDefault="004B1D4C" w:rsidP="00B1613A">
      <w:pPr>
        <w:spacing w:after="0" w:line="240" w:lineRule="auto"/>
        <w:rPr>
          <w:rFonts w:ascii="Arial" w:eastAsia="Times New Roman" w:hAnsi="Arial" w:cs="Arial"/>
          <w:color w:val="000000"/>
          <w:sz w:val="18"/>
          <w:szCs w:val="18"/>
          <w:shd w:val="clear" w:color="auto" w:fill="FFFFFF"/>
        </w:rPr>
      </w:pPr>
      <w:r>
        <w:rPr>
          <w:rFonts w:ascii="Arial" w:eastAsia="Times New Roman" w:hAnsi="Arial" w:cs="Arial"/>
          <w:color w:val="000000"/>
          <w:sz w:val="18"/>
          <w:szCs w:val="18"/>
          <w:shd w:val="clear" w:color="auto" w:fill="FFFFFF"/>
        </w:rPr>
        <w:t xml:space="preserve">Routes of transmission: </w:t>
      </w:r>
      <w:proofErr w:type="spellStart"/>
      <w:r w:rsidR="00B1613A" w:rsidRPr="00B1613A">
        <w:rPr>
          <w:rFonts w:ascii="Arial" w:eastAsia="Times New Roman" w:hAnsi="Arial" w:cs="Arial"/>
          <w:color w:val="000000"/>
          <w:sz w:val="18"/>
          <w:szCs w:val="18"/>
          <w:shd w:val="clear" w:color="auto" w:fill="FFFFFF"/>
        </w:rPr>
        <w:t>Perinatal</w:t>
      </w:r>
      <w:proofErr w:type="spellEnd"/>
      <w:r w:rsidR="00B1613A" w:rsidRPr="00B1613A">
        <w:rPr>
          <w:rFonts w:ascii="Arial" w:eastAsia="Times New Roman" w:hAnsi="Arial" w:cs="Arial"/>
          <w:color w:val="000000"/>
          <w:sz w:val="18"/>
          <w:szCs w:val="18"/>
          <w:shd w:val="clear" w:color="auto" w:fill="FFFFFF"/>
        </w:rPr>
        <w:t xml:space="preserve"> transmission and occasionally horizontal transmission early in life </w:t>
      </w:r>
      <w:r>
        <w:rPr>
          <w:rFonts w:ascii="Arial" w:eastAsia="Times New Roman" w:hAnsi="Arial" w:cs="Arial"/>
          <w:color w:val="000000"/>
          <w:sz w:val="18"/>
          <w:szCs w:val="18"/>
          <w:shd w:val="clear" w:color="auto" w:fill="FFFFFF"/>
        </w:rPr>
        <w:t>most common in high prevalence areas (</w:t>
      </w:r>
      <w:proofErr w:type="gramStart"/>
      <w:r>
        <w:rPr>
          <w:rFonts w:ascii="Arial" w:eastAsia="Times New Roman" w:hAnsi="Arial" w:cs="Arial"/>
          <w:color w:val="000000"/>
          <w:sz w:val="18"/>
          <w:szCs w:val="18"/>
          <w:shd w:val="clear" w:color="auto" w:fill="FFFFFF"/>
        </w:rPr>
        <w:t>southeast</w:t>
      </w:r>
      <w:proofErr w:type="gramEnd"/>
      <w:r>
        <w:rPr>
          <w:rFonts w:ascii="Arial" w:eastAsia="Times New Roman" w:hAnsi="Arial" w:cs="Arial"/>
          <w:color w:val="000000"/>
          <w:sz w:val="18"/>
          <w:szCs w:val="18"/>
          <w:shd w:val="clear" w:color="auto" w:fill="FFFFFF"/>
        </w:rPr>
        <w:t xml:space="preserve"> Asia, China), and </w:t>
      </w:r>
      <w:r w:rsidR="00B1613A" w:rsidRPr="00B1613A">
        <w:rPr>
          <w:rFonts w:ascii="Arial" w:eastAsia="Times New Roman" w:hAnsi="Arial" w:cs="Arial"/>
          <w:color w:val="000000"/>
          <w:sz w:val="18"/>
          <w:szCs w:val="18"/>
          <w:shd w:val="clear" w:color="auto" w:fill="FFFFFF"/>
        </w:rPr>
        <w:t xml:space="preserve">sexual contact and </w:t>
      </w:r>
      <w:proofErr w:type="spellStart"/>
      <w:r w:rsidR="00B1613A" w:rsidRPr="00B1613A">
        <w:rPr>
          <w:rFonts w:ascii="Arial" w:eastAsia="Times New Roman" w:hAnsi="Arial" w:cs="Arial"/>
          <w:color w:val="000000"/>
          <w:sz w:val="18"/>
          <w:szCs w:val="18"/>
          <w:shd w:val="clear" w:color="auto" w:fill="FFFFFF"/>
        </w:rPr>
        <w:t>percutaneous</w:t>
      </w:r>
      <w:proofErr w:type="spellEnd"/>
      <w:r w:rsidR="00B1613A" w:rsidRPr="00B1613A">
        <w:rPr>
          <w:rFonts w:ascii="Arial" w:eastAsia="Times New Roman" w:hAnsi="Arial" w:cs="Arial"/>
          <w:color w:val="000000"/>
          <w:sz w:val="18"/>
          <w:szCs w:val="18"/>
          <w:shd w:val="clear" w:color="auto" w:fill="FFFFFF"/>
        </w:rPr>
        <w:t xml:space="preserve"> </w:t>
      </w:r>
      <w:r>
        <w:rPr>
          <w:rFonts w:ascii="Arial" w:eastAsia="Times New Roman" w:hAnsi="Arial" w:cs="Arial"/>
          <w:color w:val="000000"/>
          <w:sz w:val="18"/>
          <w:szCs w:val="18"/>
          <w:shd w:val="clear" w:color="auto" w:fill="FFFFFF"/>
        </w:rPr>
        <w:t xml:space="preserve">transmission </w:t>
      </w:r>
      <w:r w:rsidR="00B1613A" w:rsidRPr="00B1613A">
        <w:rPr>
          <w:rFonts w:ascii="Arial" w:eastAsia="Times New Roman" w:hAnsi="Arial" w:cs="Arial"/>
          <w:color w:val="000000"/>
          <w:sz w:val="18"/>
          <w:szCs w:val="18"/>
          <w:shd w:val="clear" w:color="auto" w:fill="FFFFFF"/>
        </w:rPr>
        <w:t>most common in the United States, Canada, and western Europe</w:t>
      </w:r>
      <w:r>
        <w:rPr>
          <w:rFonts w:ascii="Arial" w:eastAsia="Times New Roman" w:hAnsi="Arial" w:cs="Arial"/>
          <w:color w:val="000000"/>
          <w:sz w:val="18"/>
          <w:szCs w:val="18"/>
          <w:shd w:val="clear" w:color="auto" w:fill="FFFFFF"/>
        </w:rPr>
        <w:t>.</w:t>
      </w:r>
    </w:p>
    <w:p w:rsidR="0065121D" w:rsidRPr="004B1D4C" w:rsidRDefault="0065121D" w:rsidP="00B1613A">
      <w:pPr>
        <w:spacing w:after="0" w:line="240" w:lineRule="auto"/>
        <w:rPr>
          <w:rFonts w:ascii="Arial" w:eastAsia="Times New Roman" w:hAnsi="Arial" w:cs="Arial"/>
          <w:color w:val="000000"/>
          <w:sz w:val="18"/>
          <w:szCs w:val="18"/>
          <w:shd w:val="clear" w:color="auto" w:fill="FFFFFF"/>
        </w:rPr>
      </w:pPr>
    </w:p>
    <w:p w:rsidR="00B1613A" w:rsidRPr="00B1613A" w:rsidRDefault="00B1613A" w:rsidP="00B1613A">
      <w:pPr>
        <w:spacing w:after="0" w:line="240" w:lineRule="auto"/>
        <w:rPr>
          <w:rFonts w:ascii="Arial" w:eastAsia="Times New Roman" w:hAnsi="Arial" w:cs="Arial"/>
          <w:sz w:val="18"/>
          <w:szCs w:val="18"/>
        </w:rPr>
      </w:pPr>
      <w:r w:rsidRPr="00B1613A">
        <w:rPr>
          <w:rFonts w:ascii="Arial" w:eastAsia="Times New Roman" w:hAnsi="Arial" w:cs="Arial"/>
          <w:b/>
          <w:color w:val="000000"/>
          <w:sz w:val="18"/>
          <w:szCs w:val="18"/>
          <w:shd w:val="clear" w:color="auto" w:fill="FFFFFF"/>
        </w:rPr>
        <w:t xml:space="preserve">Our chronic hepatitis panel </w:t>
      </w:r>
      <w:r w:rsidRPr="00B1613A">
        <w:rPr>
          <w:rFonts w:ascii="Arial" w:eastAsia="Times New Roman" w:hAnsi="Arial" w:cs="Arial"/>
          <w:color w:val="000000"/>
          <w:sz w:val="18"/>
          <w:szCs w:val="18"/>
          <w:shd w:val="clear" w:color="auto" w:fill="FFFFFF"/>
        </w:rPr>
        <w:t xml:space="preserve">tests for </w:t>
      </w:r>
      <w:proofErr w:type="spellStart"/>
      <w:r w:rsidRPr="00B1613A">
        <w:rPr>
          <w:rFonts w:ascii="Arial" w:eastAsia="Times New Roman" w:hAnsi="Arial" w:cs="Arial"/>
          <w:color w:val="000000"/>
          <w:sz w:val="18"/>
          <w:szCs w:val="18"/>
          <w:shd w:val="clear" w:color="auto" w:fill="FFFFFF"/>
        </w:rPr>
        <w:t>HBsAg</w:t>
      </w:r>
      <w:proofErr w:type="spellEnd"/>
      <w:r w:rsidRPr="00B1613A">
        <w:rPr>
          <w:rFonts w:ascii="Arial" w:eastAsia="Times New Roman" w:hAnsi="Arial" w:cs="Arial"/>
          <w:color w:val="000000"/>
          <w:sz w:val="18"/>
          <w:szCs w:val="18"/>
          <w:shd w:val="clear" w:color="auto" w:fill="FFFFFF"/>
        </w:rPr>
        <w:t xml:space="preserve"> and </w:t>
      </w:r>
      <w:proofErr w:type="spellStart"/>
      <w:r w:rsidRPr="00B1613A">
        <w:rPr>
          <w:rFonts w:ascii="Arial" w:eastAsia="Times New Roman" w:hAnsi="Arial" w:cs="Arial"/>
          <w:color w:val="000000"/>
          <w:sz w:val="18"/>
          <w:szCs w:val="18"/>
          <w:shd w:val="clear" w:color="auto" w:fill="FFFFFF"/>
        </w:rPr>
        <w:t>HBcAb</w:t>
      </w:r>
      <w:proofErr w:type="spellEnd"/>
      <w:r w:rsidRPr="00B1613A">
        <w:rPr>
          <w:rFonts w:ascii="Arial" w:eastAsia="Times New Roman" w:hAnsi="Arial" w:cs="Arial"/>
          <w:color w:val="000000"/>
          <w:sz w:val="18"/>
          <w:szCs w:val="18"/>
          <w:shd w:val="clear" w:color="auto" w:fill="FFFFFF"/>
        </w:rPr>
        <w:t xml:space="preserve">: </w:t>
      </w:r>
    </w:p>
    <w:p w:rsidR="00B1613A" w:rsidRPr="00B1613A" w:rsidRDefault="008F186D" w:rsidP="00B1613A">
      <w:pPr>
        <w:numPr>
          <w:ilvl w:val="0"/>
          <w:numId w:val="2"/>
        </w:numPr>
        <w:shd w:val="clear" w:color="auto" w:fill="FFFFFF"/>
        <w:spacing w:after="0" w:line="240" w:lineRule="auto"/>
        <w:textAlignment w:val="baseline"/>
        <w:rPr>
          <w:rFonts w:ascii="Arial" w:eastAsia="Times New Roman" w:hAnsi="Arial" w:cs="Arial"/>
          <w:color w:val="000000"/>
          <w:sz w:val="18"/>
          <w:szCs w:val="18"/>
        </w:rPr>
      </w:pPr>
      <w:r w:rsidRPr="004B1D4C">
        <w:rPr>
          <w:rFonts w:ascii="Arial" w:eastAsia="Times New Roman" w:hAnsi="Arial" w:cs="Arial"/>
          <w:color w:val="000000"/>
          <w:sz w:val="18"/>
          <w:szCs w:val="18"/>
          <w:shd w:val="clear" w:color="auto" w:fill="FFFFFF"/>
        </w:rPr>
        <w:t>I</w:t>
      </w:r>
      <w:r w:rsidR="00B1613A" w:rsidRPr="00B1613A">
        <w:rPr>
          <w:rFonts w:ascii="Arial" w:eastAsia="Times New Roman" w:hAnsi="Arial" w:cs="Arial"/>
          <w:color w:val="000000"/>
          <w:sz w:val="18"/>
          <w:szCs w:val="18"/>
          <w:shd w:val="clear" w:color="auto" w:fill="FFFFFF"/>
        </w:rPr>
        <w:t xml:space="preserve">f </w:t>
      </w:r>
      <w:proofErr w:type="spellStart"/>
      <w:r w:rsidR="00B1613A" w:rsidRPr="00B1613A">
        <w:rPr>
          <w:rFonts w:ascii="Arial" w:eastAsia="Times New Roman" w:hAnsi="Arial" w:cs="Arial"/>
          <w:color w:val="000000"/>
          <w:sz w:val="18"/>
          <w:szCs w:val="18"/>
          <w:shd w:val="clear" w:color="auto" w:fill="FFFFFF"/>
        </w:rPr>
        <w:t>HBcAb</w:t>
      </w:r>
      <w:proofErr w:type="spellEnd"/>
      <w:r w:rsidR="00B1613A" w:rsidRPr="00B1613A">
        <w:rPr>
          <w:rFonts w:ascii="Arial" w:eastAsia="Times New Roman" w:hAnsi="Arial" w:cs="Arial"/>
          <w:color w:val="000000"/>
          <w:sz w:val="18"/>
          <w:szCs w:val="18"/>
          <w:shd w:val="clear" w:color="auto" w:fill="FFFFFF"/>
        </w:rPr>
        <w:t xml:space="preserve"> positive but </w:t>
      </w:r>
      <w:proofErr w:type="spellStart"/>
      <w:r w:rsidR="00B1613A" w:rsidRPr="00B1613A">
        <w:rPr>
          <w:rFonts w:ascii="Arial" w:eastAsia="Times New Roman" w:hAnsi="Arial" w:cs="Arial"/>
          <w:color w:val="000000"/>
          <w:sz w:val="18"/>
          <w:szCs w:val="18"/>
          <w:shd w:val="clear" w:color="auto" w:fill="FFFFFF"/>
        </w:rPr>
        <w:t>HBsAg</w:t>
      </w:r>
      <w:proofErr w:type="spellEnd"/>
      <w:r w:rsidR="00B1613A" w:rsidRPr="00B1613A">
        <w:rPr>
          <w:rFonts w:ascii="Arial" w:eastAsia="Times New Roman" w:hAnsi="Arial" w:cs="Arial"/>
          <w:color w:val="000000"/>
          <w:sz w:val="18"/>
          <w:szCs w:val="18"/>
          <w:shd w:val="clear" w:color="auto" w:fill="FFFFFF"/>
        </w:rPr>
        <w:t xml:space="preserve"> </w:t>
      </w:r>
      <w:proofErr w:type="spellStart"/>
      <w:r w:rsidR="00B1613A" w:rsidRPr="00B1613A">
        <w:rPr>
          <w:rFonts w:ascii="Arial" w:eastAsia="Times New Roman" w:hAnsi="Arial" w:cs="Arial"/>
          <w:color w:val="000000"/>
          <w:sz w:val="18"/>
          <w:szCs w:val="18"/>
          <w:shd w:val="clear" w:color="auto" w:fill="FFFFFF"/>
        </w:rPr>
        <w:t>neg</w:t>
      </w:r>
      <w:proofErr w:type="spellEnd"/>
      <w:r w:rsidR="00B1613A" w:rsidRPr="00B1613A">
        <w:rPr>
          <w:rFonts w:ascii="Arial" w:eastAsia="Times New Roman" w:hAnsi="Arial" w:cs="Arial"/>
          <w:color w:val="000000"/>
          <w:sz w:val="18"/>
          <w:szCs w:val="18"/>
          <w:shd w:val="clear" w:color="auto" w:fill="FFFFFF"/>
        </w:rPr>
        <w:t xml:space="preserve"> → you may presume a prior cleared infection, no further work up necessary (confirmed by </w:t>
      </w:r>
      <w:proofErr w:type="spellStart"/>
      <w:r w:rsidR="00B1613A" w:rsidRPr="00B1613A">
        <w:rPr>
          <w:rFonts w:ascii="Arial" w:eastAsia="Times New Roman" w:hAnsi="Arial" w:cs="Arial"/>
          <w:color w:val="000000"/>
          <w:sz w:val="18"/>
          <w:szCs w:val="18"/>
          <w:shd w:val="clear" w:color="auto" w:fill="FFFFFF"/>
        </w:rPr>
        <w:t>HBsAb</w:t>
      </w:r>
      <w:proofErr w:type="spellEnd"/>
      <w:r w:rsidR="00B1613A" w:rsidRPr="00B1613A">
        <w:rPr>
          <w:rFonts w:ascii="Arial" w:eastAsia="Times New Roman" w:hAnsi="Arial" w:cs="Arial"/>
          <w:color w:val="000000"/>
          <w:sz w:val="18"/>
          <w:szCs w:val="18"/>
          <w:shd w:val="clear" w:color="auto" w:fill="FFFFFF"/>
        </w:rPr>
        <w:t>).</w:t>
      </w:r>
    </w:p>
    <w:p w:rsidR="00B1613A" w:rsidRPr="00B1613A" w:rsidRDefault="0065121D" w:rsidP="00B1613A">
      <w:pPr>
        <w:numPr>
          <w:ilvl w:val="0"/>
          <w:numId w:val="2"/>
        </w:numPr>
        <w:shd w:val="clear" w:color="auto" w:fill="FFFFFF"/>
        <w:spacing w:after="0" w:line="240" w:lineRule="auto"/>
        <w:textAlignment w:val="baseline"/>
        <w:rPr>
          <w:rFonts w:ascii="Arial" w:eastAsia="Times New Roman" w:hAnsi="Arial" w:cs="Arial"/>
          <w:color w:val="000000"/>
          <w:sz w:val="18"/>
          <w:szCs w:val="18"/>
        </w:rPr>
      </w:pPr>
      <w:r w:rsidRPr="004B1D4C">
        <w:rPr>
          <w:rFonts w:ascii="Arial" w:eastAsia="Times New Roman" w:hAnsi="Arial" w:cs="Arial"/>
          <w:color w:val="000000"/>
          <w:sz w:val="18"/>
          <w:szCs w:val="18"/>
          <w:shd w:val="clear" w:color="auto" w:fill="FFFFFF"/>
        </w:rPr>
        <w:t xml:space="preserve">If </w:t>
      </w:r>
      <w:proofErr w:type="spellStart"/>
      <w:r w:rsidRPr="004B1D4C">
        <w:rPr>
          <w:rFonts w:ascii="Arial" w:eastAsia="Times New Roman" w:hAnsi="Arial" w:cs="Arial"/>
          <w:color w:val="000000"/>
          <w:sz w:val="18"/>
          <w:szCs w:val="18"/>
          <w:shd w:val="clear" w:color="auto" w:fill="FFFFFF"/>
        </w:rPr>
        <w:t>HB</w:t>
      </w:r>
      <w:r w:rsidR="00B1613A" w:rsidRPr="00B1613A">
        <w:rPr>
          <w:rFonts w:ascii="Arial" w:eastAsia="Times New Roman" w:hAnsi="Arial" w:cs="Arial"/>
          <w:color w:val="000000"/>
          <w:sz w:val="18"/>
          <w:szCs w:val="18"/>
          <w:shd w:val="clear" w:color="auto" w:fill="FFFFFF"/>
        </w:rPr>
        <w:t>cAb</w:t>
      </w:r>
      <w:proofErr w:type="spellEnd"/>
      <w:r w:rsidR="00B1613A" w:rsidRPr="00B1613A">
        <w:rPr>
          <w:rFonts w:ascii="Arial" w:eastAsia="Times New Roman" w:hAnsi="Arial" w:cs="Arial"/>
          <w:color w:val="000000"/>
          <w:sz w:val="18"/>
          <w:szCs w:val="18"/>
          <w:shd w:val="clear" w:color="auto" w:fill="FFFFFF"/>
        </w:rPr>
        <w:t xml:space="preserve"> and </w:t>
      </w:r>
      <w:proofErr w:type="spellStart"/>
      <w:r w:rsidR="00B1613A" w:rsidRPr="00B1613A">
        <w:rPr>
          <w:rFonts w:ascii="Arial" w:eastAsia="Times New Roman" w:hAnsi="Arial" w:cs="Arial"/>
          <w:color w:val="000000"/>
          <w:sz w:val="18"/>
          <w:szCs w:val="18"/>
          <w:shd w:val="clear" w:color="auto" w:fill="FFFFFF"/>
        </w:rPr>
        <w:t>HBsAg</w:t>
      </w:r>
      <w:proofErr w:type="spellEnd"/>
      <w:r w:rsidR="00B1613A" w:rsidRPr="00B1613A">
        <w:rPr>
          <w:rFonts w:ascii="Arial" w:eastAsia="Times New Roman" w:hAnsi="Arial" w:cs="Arial"/>
          <w:color w:val="000000"/>
          <w:sz w:val="18"/>
          <w:szCs w:val="18"/>
          <w:shd w:val="clear" w:color="auto" w:fill="FFFFFF"/>
        </w:rPr>
        <w:t xml:space="preserve"> </w:t>
      </w:r>
      <w:proofErr w:type="spellStart"/>
      <w:r w:rsidR="00B1613A" w:rsidRPr="00B1613A">
        <w:rPr>
          <w:rFonts w:ascii="Arial" w:eastAsia="Times New Roman" w:hAnsi="Arial" w:cs="Arial"/>
          <w:color w:val="000000"/>
          <w:sz w:val="18"/>
          <w:szCs w:val="18"/>
          <w:shd w:val="clear" w:color="auto" w:fill="FFFFFF"/>
        </w:rPr>
        <w:t>neg</w:t>
      </w:r>
      <w:proofErr w:type="spellEnd"/>
      <w:r w:rsidR="00B1613A" w:rsidRPr="00B1613A">
        <w:rPr>
          <w:rFonts w:ascii="Arial" w:eastAsia="Times New Roman" w:hAnsi="Arial" w:cs="Arial"/>
          <w:color w:val="000000"/>
          <w:sz w:val="18"/>
          <w:szCs w:val="18"/>
          <w:shd w:val="clear" w:color="auto" w:fill="FFFFFF"/>
        </w:rPr>
        <w:t xml:space="preserve">, can test for </w:t>
      </w:r>
      <w:proofErr w:type="spellStart"/>
      <w:r w:rsidR="00B1613A" w:rsidRPr="00B1613A">
        <w:rPr>
          <w:rFonts w:ascii="Arial" w:eastAsia="Times New Roman" w:hAnsi="Arial" w:cs="Arial"/>
          <w:color w:val="000000"/>
          <w:sz w:val="18"/>
          <w:szCs w:val="18"/>
          <w:shd w:val="clear" w:color="auto" w:fill="FFFFFF"/>
        </w:rPr>
        <w:t>HBsAb</w:t>
      </w:r>
      <w:proofErr w:type="spellEnd"/>
      <w:r w:rsidR="00B1613A" w:rsidRPr="00B1613A">
        <w:rPr>
          <w:rFonts w:ascii="Arial" w:eastAsia="Times New Roman" w:hAnsi="Arial" w:cs="Arial"/>
          <w:color w:val="000000"/>
          <w:sz w:val="18"/>
          <w:szCs w:val="18"/>
          <w:shd w:val="clear" w:color="auto" w:fill="FFFFFF"/>
        </w:rPr>
        <w:t xml:space="preserve"> and immunize if negative. </w:t>
      </w:r>
    </w:p>
    <w:p w:rsidR="00B1613A" w:rsidRPr="00B1613A" w:rsidRDefault="00B1613A" w:rsidP="00B1613A">
      <w:pPr>
        <w:numPr>
          <w:ilvl w:val="0"/>
          <w:numId w:val="2"/>
        </w:numPr>
        <w:shd w:val="clear" w:color="auto" w:fill="FFFFFF"/>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shd w:val="clear" w:color="auto" w:fill="FFFFFF"/>
        </w:rPr>
        <w:t xml:space="preserve">If </w:t>
      </w:r>
      <w:proofErr w:type="spellStart"/>
      <w:r w:rsidRPr="00B1613A">
        <w:rPr>
          <w:rFonts w:ascii="Arial" w:eastAsia="Times New Roman" w:hAnsi="Arial" w:cs="Arial"/>
          <w:color w:val="000000"/>
          <w:sz w:val="18"/>
          <w:szCs w:val="18"/>
          <w:shd w:val="clear" w:color="auto" w:fill="FFFFFF"/>
        </w:rPr>
        <w:t>HBcAb</w:t>
      </w:r>
      <w:proofErr w:type="spellEnd"/>
      <w:r w:rsidRPr="00B1613A">
        <w:rPr>
          <w:rFonts w:ascii="Arial" w:eastAsia="Times New Roman" w:hAnsi="Arial" w:cs="Arial"/>
          <w:color w:val="000000"/>
          <w:sz w:val="18"/>
          <w:szCs w:val="18"/>
          <w:shd w:val="clear" w:color="auto" w:fill="FFFFFF"/>
        </w:rPr>
        <w:t xml:space="preserve"> and </w:t>
      </w:r>
      <w:proofErr w:type="spellStart"/>
      <w:r w:rsidRPr="00B1613A">
        <w:rPr>
          <w:rFonts w:ascii="Arial" w:eastAsia="Times New Roman" w:hAnsi="Arial" w:cs="Arial"/>
          <w:color w:val="000000"/>
          <w:sz w:val="18"/>
          <w:szCs w:val="18"/>
          <w:shd w:val="clear" w:color="auto" w:fill="FFFFFF"/>
        </w:rPr>
        <w:t>HBsAg</w:t>
      </w:r>
      <w:proofErr w:type="spellEnd"/>
      <w:r w:rsidRPr="00B1613A">
        <w:rPr>
          <w:rFonts w:ascii="Arial" w:eastAsia="Times New Roman" w:hAnsi="Arial" w:cs="Arial"/>
          <w:color w:val="000000"/>
          <w:sz w:val="18"/>
          <w:szCs w:val="18"/>
          <w:shd w:val="clear" w:color="auto" w:fill="FFFFFF"/>
        </w:rPr>
        <w:t xml:space="preserve"> both positive: </w:t>
      </w:r>
    </w:p>
    <w:p w:rsidR="00B1613A" w:rsidRPr="00B1613A" w:rsidRDefault="00B1613A" w:rsidP="00B1613A">
      <w:pPr>
        <w:numPr>
          <w:ilvl w:val="1"/>
          <w:numId w:val="3"/>
        </w:numPr>
        <w:shd w:val="clear" w:color="auto" w:fill="FFFFFF"/>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shd w:val="clear" w:color="auto" w:fill="FFFFFF"/>
        </w:rPr>
        <w:t xml:space="preserve">Order </w:t>
      </w:r>
      <w:proofErr w:type="spellStart"/>
      <w:r w:rsidRPr="00B1613A">
        <w:rPr>
          <w:rFonts w:ascii="Arial" w:eastAsia="Times New Roman" w:hAnsi="Arial" w:cs="Arial"/>
          <w:color w:val="000000"/>
          <w:sz w:val="18"/>
          <w:szCs w:val="18"/>
          <w:shd w:val="clear" w:color="auto" w:fill="FFFFFF"/>
        </w:rPr>
        <w:t>HBeAg</w:t>
      </w:r>
      <w:proofErr w:type="spellEnd"/>
      <w:r w:rsidRPr="00B1613A">
        <w:rPr>
          <w:rFonts w:ascii="Arial" w:eastAsia="Times New Roman" w:hAnsi="Arial" w:cs="Arial"/>
          <w:color w:val="000000"/>
          <w:sz w:val="18"/>
          <w:szCs w:val="18"/>
          <w:shd w:val="clear" w:color="auto" w:fill="FFFFFF"/>
        </w:rPr>
        <w:t xml:space="preserve"> and viral load. Treat if:</w:t>
      </w:r>
    </w:p>
    <w:p w:rsidR="00B1613A" w:rsidRPr="00B1613A" w:rsidRDefault="00B1613A" w:rsidP="00B1613A">
      <w:pPr>
        <w:numPr>
          <w:ilvl w:val="2"/>
          <w:numId w:val="4"/>
        </w:numPr>
        <w:shd w:val="clear" w:color="auto" w:fill="FFFFFF"/>
        <w:spacing w:after="0" w:line="240" w:lineRule="auto"/>
        <w:textAlignment w:val="baseline"/>
        <w:rPr>
          <w:rFonts w:ascii="Arial" w:eastAsia="Times New Roman" w:hAnsi="Arial" w:cs="Arial"/>
          <w:color w:val="000000"/>
          <w:sz w:val="18"/>
          <w:szCs w:val="18"/>
        </w:rPr>
      </w:pPr>
      <w:proofErr w:type="spellStart"/>
      <w:r w:rsidRPr="00B1613A">
        <w:rPr>
          <w:rFonts w:ascii="Arial" w:eastAsia="Times New Roman" w:hAnsi="Arial" w:cs="Arial"/>
          <w:color w:val="000000"/>
          <w:sz w:val="18"/>
          <w:szCs w:val="18"/>
          <w:shd w:val="clear" w:color="auto" w:fill="FFFFFF"/>
        </w:rPr>
        <w:t>HBeAg</w:t>
      </w:r>
      <w:proofErr w:type="spellEnd"/>
      <w:r w:rsidRPr="00B1613A">
        <w:rPr>
          <w:rFonts w:ascii="Arial" w:eastAsia="Times New Roman" w:hAnsi="Arial" w:cs="Arial"/>
          <w:color w:val="000000"/>
          <w:sz w:val="18"/>
          <w:szCs w:val="18"/>
          <w:shd w:val="clear" w:color="auto" w:fill="FFFFFF"/>
        </w:rPr>
        <w:t xml:space="preserve"> </w:t>
      </w:r>
      <w:proofErr w:type="spellStart"/>
      <w:r w:rsidRPr="00B1613A">
        <w:rPr>
          <w:rFonts w:ascii="Arial" w:eastAsia="Times New Roman" w:hAnsi="Arial" w:cs="Arial"/>
          <w:color w:val="000000"/>
          <w:sz w:val="18"/>
          <w:szCs w:val="18"/>
          <w:shd w:val="clear" w:color="auto" w:fill="FFFFFF"/>
        </w:rPr>
        <w:t>neg</w:t>
      </w:r>
      <w:proofErr w:type="spellEnd"/>
      <w:r w:rsidRPr="00B1613A">
        <w:rPr>
          <w:rFonts w:ascii="Arial" w:eastAsia="Times New Roman" w:hAnsi="Arial" w:cs="Arial"/>
          <w:color w:val="000000"/>
          <w:sz w:val="18"/>
          <w:szCs w:val="18"/>
          <w:shd w:val="clear" w:color="auto" w:fill="FFFFFF"/>
        </w:rPr>
        <w:t xml:space="preserve"> with viral load &gt;2k and elevated LFTs, OR</w:t>
      </w:r>
    </w:p>
    <w:p w:rsidR="00B1613A" w:rsidRPr="00B1613A" w:rsidRDefault="00B1613A" w:rsidP="00B1613A">
      <w:pPr>
        <w:numPr>
          <w:ilvl w:val="2"/>
          <w:numId w:val="4"/>
        </w:numPr>
        <w:shd w:val="clear" w:color="auto" w:fill="FFFFFF"/>
        <w:spacing w:after="0" w:line="240" w:lineRule="auto"/>
        <w:textAlignment w:val="baseline"/>
        <w:rPr>
          <w:rFonts w:ascii="Arial" w:eastAsia="Times New Roman" w:hAnsi="Arial" w:cs="Arial"/>
          <w:color w:val="000000"/>
          <w:sz w:val="18"/>
          <w:szCs w:val="18"/>
        </w:rPr>
      </w:pPr>
      <w:proofErr w:type="spellStart"/>
      <w:r w:rsidRPr="00B1613A">
        <w:rPr>
          <w:rFonts w:ascii="Arial" w:eastAsia="Times New Roman" w:hAnsi="Arial" w:cs="Arial"/>
          <w:color w:val="000000"/>
          <w:sz w:val="18"/>
          <w:szCs w:val="18"/>
          <w:shd w:val="clear" w:color="auto" w:fill="FFFFFF"/>
        </w:rPr>
        <w:t>HBeAg</w:t>
      </w:r>
      <w:proofErr w:type="spellEnd"/>
      <w:r w:rsidRPr="00B1613A">
        <w:rPr>
          <w:rFonts w:ascii="Arial" w:eastAsia="Times New Roman" w:hAnsi="Arial" w:cs="Arial"/>
          <w:color w:val="000000"/>
          <w:sz w:val="18"/>
          <w:szCs w:val="18"/>
          <w:shd w:val="clear" w:color="auto" w:fill="FFFFFF"/>
        </w:rPr>
        <w:t xml:space="preserve"> pos with viral load &gt;20k +/- elevated LFTs.</w:t>
      </w:r>
    </w:p>
    <w:p w:rsidR="008F186D" w:rsidRPr="004B1D4C" w:rsidRDefault="00B1613A" w:rsidP="008F186D">
      <w:pPr>
        <w:numPr>
          <w:ilvl w:val="1"/>
          <w:numId w:val="4"/>
        </w:numPr>
        <w:shd w:val="clear" w:color="auto" w:fill="FFFFFF"/>
        <w:spacing w:after="0" w:line="240" w:lineRule="auto"/>
        <w:textAlignment w:val="baseline"/>
        <w:rPr>
          <w:rFonts w:ascii="Arial" w:eastAsia="Times New Roman" w:hAnsi="Arial" w:cs="Arial"/>
          <w:color w:val="000000"/>
          <w:sz w:val="18"/>
          <w:szCs w:val="18"/>
        </w:rPr>
      </w:pPr>
      <w:r w:rsidRPr="00B1613A">
        <w:rPr>
          <w:rFonts w:ascii="Arial" w:eastAsia="Times New Roman" w:hAnsi="Arial" w:cs="Arial"/>
          <w:color w:val="000000"/>
          <w:sz w:val="18"/>
          <w:szCs w:val="18"/>
          <w:shd w:val="clear" w:color="auto" w:fill="FFFFFF"/>
        </w:rPr>
        <w:t xml:space="preserve">If </w:t>
      </w:r>
      <w:proofErr w:type="spellStart"/>
      <w:r w:rsidRPr="00B1613A">
        <w:rPr>
          <w:rFonts w:ascii="Arial" w:eastAsia="Times New Roman" w:hAnsi="Arial" w:cs="Arial"/>
          <w:color w:val="000000"/>
          <w:sz w:val="18"/>
          <w:szCs w:val="18"/>
          <w:shd w:val="clear" w:color="auto" w:fill="FFFFFF"/>
        </w:rPr>
        <w:t>HBeAg</w:t>
      </w:r>
      <w:proofErr w:type="spellEnd"/>
      <w:r w:rsidRPr="00B1613A">
        <w:rPr>
          <w:rFonts w:ascii="Arial" w:eastAsia="Times New Roman" w:hAnsi="Arial" w:cs="Arial"/>
          <w:color w:val="000000"/>
          <w:sz w:val="18"/>
          <w:szCs w:val="18"/>
          <w:shd w:val="clear" w:color="auto" w:fill="FFFFFF"/>
        </w:rPr>
        <w:t xml:space="preserve"> </w:t>
      </w:r>
      <w:proofErr w:type="spellStart"/>
      <w:r w:rsidRPr="00B1613A">
        <w:rPr>
          <w:rFonts w:ascii="Arial" w:eastAsia="Times New Roman" w:hAnsi="Arial" w:cs="Arial"/>
          <w:color w:val="000000"/>
          <w:sz w:val="18"/>
          <w:szCs w:val="18"/>
          <w:shd w:val="clear" w:color="auto" w:fill="FFFFFF"/>
        </w:rPr>
        <w:t>neg</w:t>
      </w:r>
      <w:proofErr w:type="spellEnd"/>
      <w:r w:rsidRPr="00B1613A">
        <w:rPr>
          <w:rFonts w:ascii="Arial" w:eastAsia="Times New Roman" w:hAnsi="Arial" w:cs="Arial"/>
          <w:color w:val="000000"/>
          <w:sz w:val="18"/>
          <w:szCs w:val="18"/>
          <w:shd w:val="clear" w:color="auto" w:fill="FFFFFF"/>
        </w:rPr>
        <w:t xml:space="preserve">, check LFTs and viral load q3-6 </w:t>
      </w:r>
      <w:proofErr w:type="spellStart"/>
      <w:r w:rsidRPr="00B1613A">
        <w:rPr>
          <w:rFonts w:ascii="Arial" w:eastAsia="Times New Roman" w:hAnsi="Arial" w:cs="Arial"/>
          <w:color w:val="000000"/>
          <w:sz w:val="18"/>
          <w:szCs w:val="18"/>
          <w:shd w:val="clear" w:color="auto" w:fill="FFFFFF"/>
        </w:rPr>
        <w:t>mos</w:t>
      </w:r>
      <w:proofErr w:type="spellEnd"/>
      <w:r w:rsidRPr="00B1613A">
        <w:rPr>
          <w:rFonts w:ascii="Arial" w:eastAsia="Times New Roman" w:hAnsi="Arial" w:cs="Arial"/>
          <w:color w:val="000000"/>
          <w:sz w:val="18"/>
          <w:szCs w:val="18"/>
          <w:shd w:val="clear" w:color="auto" w:fill="FFFFFF"/>
        </w:rPr>
        <w:t xml:space="preserve"> as they may fluctuate rapidly</w:t>
      </w:r>
      <w:r w:rsidR="008F186D" w:rsidRPr="004B1D4C">
        <w:rPr>
          <w:rFonts w:ascii="Arial" w:eastAsia="Times New Roman" w:hAnsi="Arial" w:cs="Arial"/>
          <w:color w:val="000000"/>
          <w:sz w:val="18"/>
          <w:szCs w:val="18"/>
          <w:shd w:val="clear" w:color="auto" w:fill="FFFFFF"/>
        </w:rPr>
        <w:t>.</w:t>
      </w:r>
    </w:p>
    <w:p w:rsidR="008F186D" w:rsidRPr="004B1D4C" w:rsidRDefault="0065121D" w:rsidP="008F186D">
      <w:pPr>
        <w:numPr>
          <w:ilvl w:val="0"/>
          <w:numId w:val="4"/>
        </w:numPr>
        <w:shd w:val="clear" w:color="auto" w:fill="FFFFFF"/>
        <w:spacing w:after="0" w:line="240" w:lineRule="auto"/>
        <w:textAlignment w:val="baseline"/>
        <w:rPr>
          <w:rFonts w:ascii="Arial" w:eastAsia="Times New Roman" w:hAnsi="Arial" w:cs="Arial"/>
          <w:color w:val="000000"/>
          <w:sz w:val="18"/>
          <w:szCs w:val="18"/>
        </w:rPr>
      </w:pPr>
      <w:r w:rsidRPr="004B1D4C">
        <w:rPr>
          <w:rFonts w:ascii="Arial" w:eastAsia="Times New Roman" w:hAnsi="Arial" w:cs="Arial"/>
          <w:color w:val="000000"/>
          <w:sz w:val="18"/>
          <w:szCs w:val="18"/>
        </w:rPr>
        <w:t xml:space="preserve">Criteria for chronic hepatitis: </w:t>
      </w:r>
      <w:proofErr w:type="spellStart"/>
      <w:r w:rsidRPr="004B1D4C">
        <w:rPr>
          <w:rFonts w:ascii="Arial" w:eastAsia="Times New Roman" w:hAnsi="Arial" w:cs="Arial"/>
          <w:color w:val="000000"/>
          <w:sz w:val="18"/>
          <w:szCs w:val="18"/>
        </w:rPr>
        <w:t>HBsAg</w:t>
      </w:r>
      <w:proofErr w:type="spellEnd"/>
      <w:r w:rsidRPr="004B1D4C">
        <w:rPr>
          <w:rFonts w:ascii="Arial" w:eastAsia="Times New Roman" w:hAnsi="Arial" w:cs="Arial"/>
          <w:color w:val="000000"/>
          <w:sz w:val="18"/>
          <w:szCs w:val="18"/>
        </w:rPr>
        <w:t xml:space="preserve"> pos &gt;6 mos. </w:t>
      </w:r>
    </w:p>
    <w:p w:rsidR="0065121D" w:rsidRPr="004B1D4C" w:rsidRDefault="0065121D" w:rsidP="008F186D">
      <w:pPr>
        <w:numPr>
          <w:ilvl w:val="0"/>
          <w:numId w:val="4"/>
        </w:numPr>
        <w:shd w:val="clear" w:color="auto" w:fill="FFFFFF"/>
        <w:spacing w:after="0" w:line="240" w:lineRule="auto"/>
        <w:textAlignment w:val="baseline"/>
        <w:rPr>
          <w:rFonts w:ascii="Arial" w:eastAsia="Times New Roman" w:hAnsi="Arial" w:cs="Arial"/>
          <w:color w:val="000000"/>
          <w:sz w:val="18"/>
          <w:szCs w:val="18"/>
        </w:rPr>
      </w:pPr>
      <w:r w:rsidRPr="004B1D4C">
        <w:rPr>
          <w:rFonts w:ascii="Arial" w:eastAsia="Times New Roman" w:hAnsi="Arial" w:cs="Arial"/>
          <w:color w:val="000000"/>
          <w:sz w:val="18"/>
          <w:szCs w:val="18"/>
        </w:rPr>
        <w:t xml:space="preserve">Occult HBV infection: </w:t>
      </w:r>
      <w:proofErr w:type="spellStart"/>
      <w:r w:rsidRPr="004B1D4C">
        <w:rPr>
          <w:rFonts w:ascii="Arial" w:eastAsia="Times New Roman" w:hAnsi="Arial" w:cs="Arial"/>
          <w:color w:val="000000"/>
          <w:sz w:val="18"/>
          <w:szCs w:val="18"/>
        </w:rPr>
        <w:t>HBsAg</w:t>
      </w:r>
      <w:proofErr w:type="spellEnd"/>
      <w:r w:rsidRPr="004B1D4C">
        <w:rPr>
          <w:rFonts w:ascii="Arial" w:eastAsia="Times New Roman" w:hAnsi="Arial" w:cs="Arial"/>
          <w:color w:val="000000"/>
          <w:sz w:val="18"/>
          <w:szCs w:val="18"/>
        </w:rPr>
        <w:t xml:space="preserve"> </w:t>
      </w:r>
      <w:proofErr w:type="spellStart"/>
      <w:r w:rsidRPr="004B1D4C">
        <w:rPr>
          <w:rFonts w:ascii="Arial" w:eastAsia="Times New Roman" w:hAnsi="Arial" w:cs="Arial"/>
          <w:color w:val="000000"/>
          <w:sz w:val="18"/>
          <w:szCs w:val="18"/>
        </w:rPr>
        <w:t>neg</w:t>
      </w:r>
      <w:proofErr w:type="spellEnd"/>
      <w:r w:rsidRPr="004B1D4C">
        <w:rPr>
          <w:rFonts w:ascii="Arial" w:eastAsia="Times New Roman" w:hAnsi="Arial" w:cs="Arial"/>
          <w:color w:val="000000"/>
          <w:sz w:val="18"/>
          <w:szCs w:val="18"/>
        </w:rPr>
        <w:t xml:space="preserve"> but detectable HBV DNA by PCR (due to low levels of HBV DNA). </w:t>
      </w:r>
    </w:p>
    <w:p w:rsidR="0065121D" w:rsidRPr="004B1D4C" w:rsidRDefault="0065121D" w:rsidP="008F186D">
      <w:pPr>
        <w:shd w:val="clear" w:color="auto" w:fill="FFFFFF"/>
        <w:spacing w:after="0" w:line="240" w:lineRule="auto"/>
        <w:textAlignment w:val="baseline"/>
        <w:rPr>
          <w:rFonts w:ascii="Arial" w:eastAsia="Times New Roman" w:hAnsi="Arial" w:cs="Arial"/>
          <w:color w:val="000000"/>
          <w:sz w:val="18"/>
          <w:szCs w:val="18"/>
          <w:shd w:val="clear" w:color="auto" w:fill="FFFFFF"/>
        </w:rPr>
      </w:pPr>
    </w:p>
    <w:p w:rsidR="008F186D" w:rsidRPr="004B1D4C" w:rsidRDefault="008F186D" w:rsidP="008F186D">
      <w:pPr>
        <w:shd w:val="clear" w:color="auto" w:fill="FFFFFF"/>
        <w:spacing w:after="0" w:line="240" w:lineRule="auto"/>
        <w:textAlignment w:val="baseline"/>
        <w:rPr>
          <w:rFonts w:ascii="Arial" w:eastAsia="Times New Roman" w:hAnsi="Arial" w:cs="Arial"/>
          <w:color w:val="000000"/>
          <w:sz w:val="18"/>
          <w:szCs w:val="18"/>
          <w:shd w:val="clear" w:color="auto" w:fill="FFFFFF"/>
        </w:rPr>
      </w:pPr>
      <w:r w:rsidRPr="004B1D4C">
        <w:rPr>
          <w:rFonts w:ascii="Arial" w:eastAsia="Times New Roman" w:hAnsi="Arial" w:cs="Arial"/>
          <w:color w:val="000000"/>
          <w:sz w:val="18"/>
          <w:szCs w:val="18"/>
          <w:shd w:val="clear" w:color="auto" w:fill="FFFFFF"/>
        </w:rPr>
        <w:t xml:space="preserve">If found to have chronic </w:t>
      </w:r>
      <w:proofErr w:type="gramStart"/>
      <w:r w:rsidR="004B1D4C" w:rsidRPr="004B1D4C">
        <w:rPr>
          <w:rFonts w:ascii="Arial" w:eastAsia="Times New Roman" w:hAnsi="Arial" w:cs="Arial"/>
          <w:color w:val="000000"/>
          <w:sz w:val="18"/>
          <w:szCs w:val="18"/>
          <w:shd w:val="clear" w:color="auto" w:fill="FFFFFF"/>
        </w:rPr>
        <w:t>HBV</w:t>
      </w:r>
      <w:r w:rsidR="004B1D4C">
        <w:rPr>
          <w:rFonts w:ascii="Arial" w:eastAsia="Times New Roman" w:hAnsi="Arial" w:cs="Arial"/>
          <w:color w:val="000000"/>
          <w:sz w:val="18"/>
          <w:szCs w:val="18"/>
          <w:shd w:val="clear" w:color="auto" w:fill="FFFFFF"/>
        </w:rPr>
        <w:t>,</w:t>
      </w:r>
      <w:proofErr w:type="gramEnd"/>
      <w:r w:rsidRPr="004B1D4C">
        <w:rPr>
          <w:rFonts w:ascii="Arial" w:eastAsia="Times New Roman" w:hAnsi="Arial" w:cs="Arial"/>
          <w:color w:val="000000"/>
          <w:sz w:val="18"/>
          <w:szCs w:val="18"/>
          <w:shd w:val="clear" w:color="auto" w:fill="FFFFFF"/>
        </w:rPr>
        <w:t xml:space="preserve"> should evaluate for: </w:t>
      </w:r>
    </w:p>
    <w:p w:rsidR="008F186D" w:rsidRPr="004B1D4C" w:rsidRDefault="008F186D" w:rsidP="004B1D4C">
      <w:pPr>
        <w:pStyle w:val="ListParagraph"/>
        <w:numPr>
          <w:ilvl w:val="0"/>
          <w:numId w:val="15"/>
        </w:numPr>
        <w:shd w:val="clear" w:color="auto" w:fill="FFFFFF"/>
        <w:spacing w:after="0" w:line="240" w:lineRule="auto"/>
        <w:textAlignment w:val="baseline"/>
        <w:rPr>
          <w:rFonts w:ascii="Arial" w:eastAsia="Times New Roman" w:hAnsi="Arial" w:cs="Arial"/>
          <w:color w:val="000000"/>
          <w:sz w:val="18"/>
          <w:szCs w:val="18"/>
          <w:shd w:val="clear" w:color="auto" w:fill="FFFFFF"/>
        </w:rPr>
      </w:pPr>
      <w:r w:rsidRPr="004B1D4C">
        <w:rPr>
          <w:rFonts w:ascii="Arial" w:eastAsia="Times New Roman" w:hAnsi="Arial" w:cs="Arial"/>
          <w:color w:val="000000"/>
          <w:sz w:val="18"/>
          <w:szCs w:val="18"/>
          <w:shd w:val="clear" w:color="auto" w:fill="FFFFFF"/>
        </w:rPr>
        <w:t xml:space="preserve">Evaluate for risk factors: HCV/HIV, </w:t>
      </w:r>
      <w:proofErr w:type="spellStart"/>
      <w:r w:rsidRPr="004B1D4C">
        <w:rPr>
          <w:rFonts w:ascii="Arial" w:eastAsia="Times New Roman" w:hAnsi="Arial" w:cs="Arial"/>
          <w:color w:val="000000"/>
          <w:sz w:val="18"/>
          <w:szCs w:val="18"/>
          <w:shd w:val="clear" w:color="auto" w:fill="FFFFFF"/>
        </w:rPr>
        <w:t>etoh</w:t>
      </w:r>
      <w:proofErr w:type="spellEnd"/>
      <w:r w:rsidRPr="004B1D4C">
        <w:rPr>
          <w:rFonts w:ascii="Arial" w:eastAsia="Times New Roman" w:hAnsi="Arial" w:cs="Arial"/>
          <w:color w:val="000000"/>
          <w:sz w:val="18"/>
          <w:szCs w:val="18"/>
          <w:shd w:val="clear" w:color="auto" w:fill="FFFFFF"/>
        </w:rPr>
        <w:t xml:space="preserve">, </w:t>
      </w:r>
      <w:proofErr w:type="spellStart"/>
      <w:proofErr w:type="gramStart"/>
      <w:r w:rsidRPr="004B1D4C">
        <w:rPr>
          <w:rFonts w:ascii="Arial" w:eastAsia="Times New Roman" w:hAnsi="Arial" w:cs="Arial"/>
          <w:color w:val="000000"/>
          <w:sz w:val="18"/>
          <w:szCs w:val="18"/>
          <w:shd w:val="clear" w:color="auto" w:fill="FFFFFF"/>
        </w:rPr>
        <w:t>fam</w:t>
      </w:r>
      <w:proofErr w:type="spellEnd"/>
      <w:proofErr w:type="gramEnd"/>
      <w:r w:rsidRPr="004B1D4C">
        <w:rPr>
          <w:rFonts w:ascii="Arial" w:eastAsia="Times New Roman" w:hAnsi="Arial" w:cs="Arial"/>
          <w:color w:val="000000"/>
          <w:sz w:val="18"/>
          <w:szCs w:val="18"/>
          <w:shd w:val="clear" w:color="auto" w:fill="FFFFFF"/>
        </w:rPr>
        <w:t xml:space="preserve"> </w:t>
      </w:r>
      <w:proofErr w:type="spellStart"/>
      <w:r w:rsidRPr="004B1D4C">
        <w:rPr>
          <w:rFonts w:ascii="Arial" w:eastAsia="Times New Roman" w:hAnsi="Arial" w:cs="Arial"/>
          <w:color w:val="000000"/>
          <w:sz w:val="18"/>
          <w:szCs w:val="18"/>
          <w:shd w:val="clear" w:color="auto" w:fill="FFFFFF"/>
        </w:rPr>
        <w:t>hx</w:t>
      </w:r>
      <w:proofErr w:type="spellEnd"/>
      <w:r w:rsidRPr="004B1D4C">
        <w:rPr>
          <w:rFonts w:ascii="Arial" w:eastAsia="Times New Roman" w:hAnsi="Arial" w:cs="Arial"/>
          <w:color w:val="000000"/>
          <w:sz w:val="18"/>
          <w:szCs w:val="18"/>
          <w:shd w:val="clear" w:color="auto" w:fill="FFFFFF"/>
        </w:rPr>
        <w:t xml:space="preserve">, liver disease. </w:t>
      </w:r>
    </w:p>
    <w:p w:rsidR="008F186D" w:rsidRPr="004B1D4C" w:rsidRDefault="008F186D" w:rsidP="004B1D4C">
      <w:pPr>
        <w:pStyle w:val="ListParagraph"/>
        <w:numPr>
          <w:ilvl w:val="0"/>
          <w:numId w:val="15"/>
        </w:numPr>
        <w:shd w:val="clear" w:color="auto" w:fill="FFFFFF"/>
        <w:spacing w:after="0" w:line="240" w:lineRule="auto"/>
        <w:textAlignment w:val="baseline"/>
        <w:rPr>
          <w:rFonts w:ascii="Arial" w:eastAsia="Times New Roman" w:hAnsi="Arial" w:cs="Arial"/>
          <w:color w:val="000000"/>
          <w:sz w:val="18"/>
          <w:szCs w:val="18"/>
          <w:shd w:val="clear" w:color="auto" w:fill="FFFFFF"/>
        </w:rPr>
      </w:pPr>
      <w:r w:rsidRPr="004B1D4C">
        <w:rPr>
          <w:rFonts w:ascii="Arial" w:eastAsia="Times New Roman" w:hAnsi="Arial" w:cs="Arial"/>
          <w:color w:val="000000"/>
          <w:sz w:val="18"/>
          <w:szCs w:val="18"/>
          <w:shd w:val="clear" w:color="auto" w:fill="FFFFFF"/>
        </w:rPr>
        <w:t xml:space="preserve">Labs: CBC, LFTs, PTT, HBV replication (per above), HAV </w:t>
      </w:r>
      <w:proofErr w:type="spellStart"/>
      <w:r w:rsidRPr="004B1D4C">
        <w:rPr>
          <w:rFonts w:ascii="Arial" w:eastAsia="Times New Roman" w:hAnsi="Arial" w:cs="Arial"/>
          <w:color w:val="000000"/>
          <w:sz w:val="18"/>
          <w:szCs w:val="18"/>
          <w:shd w:val="clear" w:color="auto" w:fill="FFFFFF"/>
        </w:rPr>
        <w:t>IgG</w:t>
      </w:r>
      <w:proofErr w:type="spellEnd"/>
      <w:r w:rsidRPr="004B1D4C">
        <w:rPr>
          <w:rFonts w:ascii="Arial" w:eastAsia="Times New Roman" w:hAnsi="Arial" w:cs="Arial"/>
          <w:color w:val="000000"/>
          <w:sz w:val="18"/>
          <w:szCs w:val="18"/>
          <w:shd w:val="clear" w:color="auto" w:fill="FFFFFF"/>
        </w:rPr>
        <w:t xml:space="preserve"> Ab. Anti-HCV, anti-HDV, iron, TIBC. </w:t>
      </w:r>
    </w:p>
    <w:p w:rsidR="008F186D" w:rsidRPr="004B1D4C" w:rsidRDefault="008F186D" w:rsidP="004B1D4C">
      <w:pPr>
        <w:pStyle w:val="ListParagraph"/>
        <w:numPr>
          <w:ilvl w:val="0"/>
          <w:numId w:val="15"/>
        </w:numPr>
        <w:shd w:val="clear" w:color="auto" w:fill="FFFFFF"/>
        <w:spacing w:after="0" w:line="240" w:lineRule="auto"/>
        <w:textAlignment w:val="baseline"/>
        <w:rPr>
          <w:rFonts w:ascii="Arial" w:eastAsia="Times New Roman" w:hAnsi="Arial" w:cs="Arial"/>
          <w:color w:val="000000"/>
          <w:sz w:val="18"/>
          <w:szCs w:val="18"/>
          <w:shd w:val="clear" w:color="auto" w:fill="FFFFFF"/>
        </w:rPr>
      </w:pPr>
      <w:r w:rsidRPr="004B1D4C">
        <w:rPr>
          <w:rFonts w:ascii="Arial" w:eastAsia="Times New Roman" w:hAnsi="Arial" w:cs="Arial"/>
          <w:color w:val="000000"/>
          <w:sz w:val="18"/>
          <w:szCs w:val="18"/>
          <w:shd w:val="clear" w:color="auto" w:fill="FFFFFF"/>
        </w:rPr>
        <w:t xml:space="preserve">HCC screening. </w:t>
      </w:r>
    </w:p>
    <w:p w:rsidR="008F186D" w:rsidRDefault="008F186D" w:rsidP="004B1D4C">
      <w:pPr>
        <w:pStyle w:val="ListParagraph"/>
        <w:numPr>
          <w:ilvl w:val="0"/>
          <w:numId w:val="15"/>
        </w:numPr>
        <w:shd w:val="clear" w:color="auto" w:fill="FFFFFF"/>
        <w:spacing w:after="0" w:line="240" w:lineRule="auto"/>
        <w:textAlignment w:val="baseline"/>
        <w:rPr>
          <w:rFonts w:ascii="Arial" w:eastAsia="Times New Roman" w:hAnsi="Arial" w:cs="Arial"/>
          <w:color w:val="000000"/>
          <w:sz w:val="18"/>
          <w:szCs w:val="18"/>
          <w:shd w:val="clear" w:color="auto" w:fill="FFFFFF"/>
        </w:rPr>
      </w:pPr>
      <w:r w:rsidRPr="004B1D4C">
        <w:rPr>
          <w:rFonts w:ascii="Arial" w:eastAsia="Times New Roman" w:hAnsi="Arial" w:cs="Arial"/>
          <w:color w:val="000000"/>
          <w:sz w:val="18"/>
          <w:szCs w:val="18"/>
          <w:shd w:val="clear" w:color="auto" w:fill="FFFFFF"/>
        </w:rPr>
        <w:t xml:space="preserve">Liver </w:t>
      </w:r>
      <w:proofErr w:type="spellStart"/>
      <w:r w:rsidRPr="004B1D4C">
        <w:rPr>
          <w:rFonts w:ascii="Arial" w:eastAsia="Times New Roman" w:hAnsi="Arial" w:cs="Arial"/>
          <w:color w:val="000000"/>
          <w:sz w:val="18"/>
          <w:szCs w:val="18"/>
          <w:shd w:val="clear" w:color="auto" w:fill="FFFFFF"/>
        </w:rPr>
        <w:t>bx</w:t>
      </w:r>
      <w:proofErr w:type="spellEnd"/>
      <w:r w:rsidRPr="004B1D4C">
        <w:rPr>
          <w:rFonts w:ascii="Arial" w:eastAsia="Times New Roman" w:hAnsi="Arial" w:cs="Arial"/>
          <w:color w:val="000000"/>
          <w:sz w:val="18"/>
          <w:szCs w:val="18"/>
          <w:shd w:val="clear" w:color="auto" w:fill="FFFFFF"/>
        </w:rPr>
        <w:t xml:space="preserve"> if indicated, especially if </w:t>
      </w:r>
      <w:proofErr w:type="spellStart"/>
      <w:r w:rsidRPr="004B1D4C">
        <w:rPr>
          <w:rFonts w:ascii="Arial" w:eastAsia="Times New Roman" w:hAnsi="Arial" w:cs="Arial"/>
          <w:color w:val="000000"/>
          <w:sz w:val="18"/>
          <w:szCs w:val="18"/>
          <w:shd w:val="clear" w:color="auto" w:fill="FFFFFF"/>
        </w:rPr>
        <w:t>pt</w:t>
      </w:r>
      <w:proofErr w:type="spellEnd"/>
      <w:r w:rsidRPr="004B1D4C">
        <w:rPr>
          <w:rFonts w:ascii="Arial" w:eastAsia="Times New Roman" w:hAnsi="Arial" w:cs="Arial"/>
          <w:color w:val="000000"/>
          <w:sz w:val="18"/>
          <w:szCs w:val="18"/>
          <w:shd w:val="clear" w:color="auto" w:fill="FFFFFF"/>
        </w:rPr>
        <w:t xml:space="preserve"> does not meet </w:t>
      </w:r>
      <w:proofErr w:type="spellStart"/>
      <w:proofErr w:type="gramStart"/>
      <w:r w:rsidRPr="004B1D4C">
        <w:rPr>
          <w:rFonts w:ascii="Arial" w:eastAsia="Times New Roman" w:hAnsi="Arial" w:cs="Arial"/>
          <w:color w:val="000000"/>
          <w:sz w:val="18"/>
          <w:szCs w:val="18"/>
          <w:shd w:val="clear" w:color="auto" w:fill="FFFFFF"/>
        </w:rPr>
        <w:t>tx</w:t>
      </w:r>
      <w:proofErr w:type="spellEnd"/>
      <w:proofErr w:type="gramEnd"/>
      <w:r w:rsidRPr="004B1D4C">
        <w:rPr>
          <w:rFonts w:ascii="Arial" w:eastAsia="Times New Roman" w:hAnsi="Arial" w:cs="Arial"/>
          <w:color w:val="000000"/>
          <w:sz w:val="18"/>
          <w:szCs w:val="18"/>
          <w:shd w:val="clear" w:color="auto" w:fill="FFFFFF"/>
        </w:rPr>
        <w:t xml:space="preserve"> criteria but has HBV DNA 2,000-20,000 and normal or mildly elevated ALT/AST. May need treatment if </w:t>
      </w:r>
      <w:proofErr w:type="spellStart"/>
      <w:r w:rsidRPr="004B1D4C">
        <w:rPr>
          <w:rFonts w:ascii="Arial" w:eastAsia="Times New Roman" w:hAnsi="Arial" w:cs="Arial"/>
          <w:color w:val="000000"/>
          <w:sz w:val="18"/>
          <w:szCs w:val="18"/>
          <w:shd w:val="clear" w:color="auto" w:fill="FFFFFF"/>
        </w:rPr>
        <w:t>histologically</w:t>
      </w:r>
      <w:proofErr w:type="spellEnd"/>
      <w:r w:rsidRPr="004B1D4C">
        <w:rPr>
          <w:rFonts w:ascii="Arial" w:eastAsia="Times New Roman" w:hAnsi="Arial" w:cs="Arial"/>
          <w:color w:val="000000"/>
          <w:sz w:val="18"/>
          <w:szCs w:val="18"/>
          <w:shd w:val="clear" w:color="auto" w:fill="FFFFFF"/>
        </w:rPr>
        <w:t xml:space="preserve"> active liver disease. </w:t>
      </w:r>
    </w:p>
    <w:p w:rsidR="004B1D4C" w:rsidRDefault="004B1D4C" w:rsidP="004B1D4C">
      <w:pPr>
        <w:shd w:val="clear" w:color="auto" w:fill="FFFFFF"/>
        <w:spacing w:after="0" w:line="240" w:lineRule="auto"/>
        <w:textAlignment w:val="baseline"/>
        <w:rPr>
          <w:rFonts w:ascii="Arial" w:eastAsia="Times New Roman" w:hAnsi="Arial" w:cs="Arial"/>
          <w:color w:val="000000"/>
          <w:sz w:val="18"/>
          <w:szCs w:val="18"/>
          <w:shd w:val="clear" w:color="auto" w:fill="FFFFFF"/>
        </w:rPr>
      </w:pPr>
    </w:p>
    <w:p w:rsidR="004B1D4C" w:rsidRDefault="004B1D4C" w:rsidP="004B1D4C">
      <w:pPr>
        <w:shd w:val="clear" w:color="auto" w:fill="FFFFFF"/>
        <w:spacing w:after="0" w:line="240" w:lineRule="auto"/>
        <w:textAlignment w:val="baseline"/>
        <w:rPr>
          <w:rFonts w:ascii="Arial" w:eastAsia="Times New Roman" w:hAnsi="Arial" w:cs="Arial"/>
          <w:color w:val="000000"/>
          <w:sz w:val="18"/>
          <w:szCs w:val="18"/>
          <w:shd w:val="clear" w:color="auto" w:fill="FFFFFF"/>
        </w:rPr>
      </w:pPr>
      <w:r>
        <w:rPr>
          <w:rFonts w:ascii="Arial" w:eastAsia="Times New Roman" w:hAnsi="Arial" w:cs="Arial"/>
          <w:color w:val="000000"/>
          <w:sz w:val="18"/>
          <w:szCs w:val="18"/>
          <w:shd w:val="clear" w:color="auto" w:fill="FFFFFF"/>
        </w:rPr>
        <w:t xml:space="preserve">Phases of </w:t>
      </w:r>
      <w:proofErr w:type="gramStart"/>
      <w:r>
        <w:rPr>
          <w:rFonts w:ascii="Arial" w:eastAsia="Times New Roman" w:hAnsi="Arial" w:cs="Arial"/>
          <w:color w:val="000000"/>
          <w:sz w:val="18"/>
          <w:szCs w:val="18"/>
          <w:shd w:val="clear" w:color="auto" w:fill="FFFFFF"/>
        </w:rPr>
        <w:t>chronic  HBV</w:t>
      </w:r>
      <w:proofErr w:type="gramEnd"/>
      <w:r>
        <w:rPr>
          <w:rFonts w:ascii="Arial" w:eastAsia="Times New Roman" w:hAnsi="Arial" w:cs="Arial"/>
          <w:color w:val="000000"/>
          <w:sz w:val="18"/>
          <w:szCs w:val="18"/>
          <w:shd w:val="clear" w:color="auto" w:fill="FFFFFF"/>
        </w:rPr>
        <w:t xml:space="preserve">: </w:t>
      </w:r>
    </w:p>
    <w:p w:rsidR="00D94F33" w:rsidRDefault="004B1D4C" w:rsidP="00D94F33">
      <w:pPr>
        <w:pStyle w:val="ListParagraph"/>
        <w:numPr>
          <w:ilvl w:val="0"/>
          <w:numId w:val="16"/>
        </w:numPr>
        <w:shd w:val="clear" w:color="auto" w:fill="FFFFFF"/>
        <w:spacing w:after="0" w:line="240" w:lineRule="auto"/>
        <w:textAlignment w:val="baseline"/>
        <w:rPr>
          <w:rFonts w:ascii="Arial" w:eastAsia="Times New Roman" w:hAnsi="Arial" w:cs="Arial"/>
          <w:color w:val="000000"/>
          <w:sz w:val="18"/>
          <w:szCs w:val="18"/>
          <w:shd w:val="clear" w:color="auto" w:fill="FFFFFF"/>
        </w:rPr>
      </w:pPr>
      <w:r w:rsidRPr="00D94F33">
        <w:rPr>
          <w:rFonts w:ascii="Arial" w:eastAsia="Times New Roman" w:hAnsi="Arial" w:cs="Arial"/>
          <w:color w:val="000000"/>
          <w:sz w:val="18"/>
          <w:szCs w:val="18"/>
          <w:shd w:val="clear" w:color="auto" w:fill="FFFFFF"/>
        </w:rPr>
        <w:t xml:space="preserve">Early </w:t>
      </w:r>
      <w:proofErr w:type="spellStart"/>
      <w:r w:rsidRPr="00D94F33">
        <w:rPr>
          <w:rFonts w:ascii="Arial" w:eastAsia="Times New Roman" w:hAnsi="Arial" w:cs="Arial"/>
          <w:color w:val="000000"/>
          <w:sz w:val="18"/>
          <w:szCs w:val="18"/>
          <w:shd w:val="clear" w:color="auto" w:fill="FFFFFF"/>
        </w:rPr>
        <w:t>replicative</w:t>
      </w:r>
      <w:proofErr w:type="spellEnd"/>
      <w:r w:rsidRPr="00D94F33">
        <w:rPr>
          <w:rFonts w:ascii="Arial" w:eastAsia="Times New Roman" w:hAnsi="Arial" w:cs="Arial"/>
          <w:color w:val="000000"/>
          <w:sz w:val="18"/>
          <w:szCs w:val="18"/>
          <w:shd w:val="clear" w:color="auto" w:fill="FFFFFF"/>
        </w:rPr>
        <w:t xml:space="preserve"> phase with active liver disease </w:t>
      </w:r>
      <w:r w:rsidRPr="004B1D4C">
        <w:rPr>
          <w:rFonts w:ascii="Arial" w:eastAsia="Times New Roman" w:hAnsi="Arial" w:cs="Arial"/>
          <w:color w:val="000000"/>
          <w:sz w:val="18"/>
          <w:szCs w:val="18"/>
          <w:shd w:val="clear" w:color="auto" w:fill="FFFFFF"/>
        </w:rPr>
        <w:sym w:font="Wingdings" w:char="F0E0"/>
      </w:r>
      <w:r w:rsidRPr="00D94F33">
        <w:rPr>
          <w:rFonts w:ascii="Arial" w:eastAsia="Times New Roman" w:hAnsi="Arial" w:cs="Arial"/>
          <w:color w:val="000000"/>
          <w:sz w:val="18"/>
          <w:szCs w:val="18"/>
          <w:shd w:val="clear" w:color="auto" w:fill="FFFFFF"/>
        </w:rPr>
        <w:t xml:space="preserve"> later phase with low replication and remission of liver disease</w:t>
      </w:r>
      <w:r w:rsidR="00D94F33">
        <w:rPr>
          <w:rFonts w:ascii="Arial" w:eastAsia="Times New Roman" w:hAnsi="Arial" w:cs="Arial"/>
          <w:color w:val="000000"/>
          <w:sz w:val="18"/>
          <w:szCs w:val="18"/>
          <w:shd w:val="clear" w:color="auto" w:fill="FFFFFF"/>
        </w:rPr>
        <w:t xml:space="preserve"> (</w:t>
      </w:r>
      <w:proofErr w:type="spellStart"/>
      <w:r w:rsidR="00D94F33">
        <w:rPr>
          <w:rFonts w:ascii="Arial" w:eastAsia="Times New Roman" w:hAnsi="Arial" w:cs="Arial"/>
          <w:color w:val="000000"/>
          <w:sz w:val="18"/>
          <w:szCs w:val="18"/>
          <w:shd w:val="clear" w:color="auto" w:fill="FFFFFF"/>
        </w:rPr>
        <w:t>HBeAg</w:t>
      </w:r>
      <w:proofErr w:type="spellEnd"/>
      <w:r w:rsidR="00D94F33">
        <w:rPr>
          <w:rFonts w:ascii="Arial" w:eastAsia="Times New Roman" w:hAnsi="Arial" w:cs="Arial"/>
          <w:color w:val="000000"/>
          <w:sz w:val="18"/>
          <w:szCs w:val="18"/>
          <w:shd w:val="clear" w:color="auto" w:fill="FFFFFF"/>
        </w:rPr>
        <w:t xml:space="preserve"> </w:t>
      </w:r>
      <w:proofErr w:type="spellStart"/>
      <w:r w:rsidR="00D94F33">
        <w:rPr>
          <w:rFonts w:ascii="Arial" w:eastAsia="Times New Roman" w:hAnsi="Arial" w:cs="Arial"/>
          <w:color w:val="000000"/>
          <w:sz w:val="18"/>
          <w:szCs w:val="18"/>
          <w:shd w:val="clear" w:color="auto" w:fill="FFFFFF"/>
        </w:rPr>
        <w:t>neg</w:t>
      </w:r>
      <w:proofErr w:type="spellEnd"/>
      <w:r w:rsidR="00D94F33">
        <w:rPr>
          <w:rFonts w:ascii="Arial" w:eastAsia="Times New Roman" w:hAnsi="Arial" w:cs="Arial"/>
          <w:color w:val="000000"/>
          <w:sz w:val="18"/>
          <w:szCs w:val="18"/>
          <w:shd w:val="clear" w:color="auto" w:fill="FFFFFF"/>
        </w:rPr>
        <w:t xml:space="preserve"> and anti-</w:t>
      </w:r>
      <w:proofErr w:type="spellStart"/>
      <w:r w:rsidR="00D94F33">
        <w:rPr>
          <w:rFonts w:ascii="Arial" w:eastAsia="Times New Roman" w:hAnsi="Arial" w:cs="Arial"/>
          <w:color w:val="000000"/>
          <w:sz w:val="18"/>
          <w:szCs w:val="18"/>
          <w:shd w:val="clear" w:color="auto" w:fill="FFFFFF"/>
        </w:rPr>
        <w:t>HBe</w:t>
      </w:r>
      <w:proofErr w:type="spellEnd"/>
      <w:r w:rsidR="00D94F33">
        <w:rPr>
          <w:rFonts w:ascii="Arial" w:eastAsia="Times New Roman" w:hAnsi="Arial" w:cs="Arial"/>
          <w:color w:val="000000"/>
          <w:sz w:val="18"/>
          <w:szCs w:val="18"/>
          <w:shd w:val="clear" w:color="auto" w:fill="FFFFFF"/>
        </w:rPr>
        <w:t xml:space="preserve"> pos). </w:t>
      </w:r>
    </w:p>
    <w:p w:rsidR="00D94F33" w:rsidRPr="00D94F33" w:rsidRDefault="00D94F33" w:rsidP="00D94F33">
      <w:pPr>
        <w:shd w:val="clear" w:color="auto" w:fill="FFFFFF"/>
        <w:spacing w:after="0" w:line="240" w:lineRule="auto"/>
        <w:ind w:left="360"/>
        <w:textAlignment w:val="baseline"/>
        <w:rPr>
          <w:rFonts w:ascii="Arial" w:eastAsia="Times New Roman" w:hAnsi="Arial" w:cs="Arial"/>
          <w:color w:val="000000"/>
          <w:sz w:val="18"/>
          <w:szCs w:val="18"/>
          <w:shd w:val="clear" w:color="auto" w:fill="FFFFFF"/>
        </w:rPr>
      </w:pPr>
    </w:p>
    <w:p w:rsidR="00D94F33" w:rsidRPr="00D94F33" w:rsidRDefault="00D94F33" w:rsidP="00D94F33">
      <w:pPr>
        <w:shd w:val="clear" w:color="auto" w:fill="FFFFFF"/>
        <w:spacing w:after="0" w:line="240" w:lineRule="auto"/>
        <w:textAlignment w:val="baseline"/>
        <w:rPr>
          <w:rFonts w:ascii="Arial" w:eastAsia="Times New Roman" w:hAnsi="Arial" w:cs="Arial"/>
          <w:color w:val="000000"/>
          <w:sz w:val="18"/>
          <w:szCs w:val="18"/>
          <w:shd w:val="clear" w:color="auto" w:fill="FFFFFF"/>
        </w:rPr>
      </w:pPr>
      <w:proofErr w:type="spellStart"/>
      <w:r>
        <w:rPr>
          <w:rFonts w:ascii="Arial" w:eastAsia="Times New Roman" w:hAnsi="Arial" w:cs="Arial"/>
          <w:color w:val="000000"/>
          <w:sz w:val="18"/>
          <w:szCs w:val="18"/>
          <w:shd w:val="clear" w:color="auto" w:fill="FFFFFF"/>
        </w:rPr>
        <w:t>Sequelae</w:t>
      </w:r>
      <w:proofErr w:type="spellEnd"/>
      <w:r>
        <w:rPr>
          <w:rFonts w:ascii="Arial" w:eastAsia="Times New Roman" w:hAnsi="Arial" w:cs="Arial"/>
          <w:color w:val="000000"/>
          <w:sz w:val="18"/>
          <w:szCs w:val="18"/>
          <w:shd w:val="clear" w:color="auto" w:fill="FFFFFF"/>
        </w:rPr>
        <w:t xml:space="preserve">: Development of cirrhosis, hepatic </w:t>
      </w:r>
      <w:proofErr w:type="spellStart"/>
      <w:r>
        <w:rPr>
          <w:rFonts w:ascii="Arial" w:eastAsia="Times New Roman" w:hAnsi="Arial" w:cs="Arial"/>
          <w:color w:val="000000"/>
          <w:sz w:val="18"/>
          <w:szCs w:val="18"/>
          <w:shd w:val="clear" w:color="auto" w:fill="FFFFFF"/>
        </w:rPr>
        <w:t>decompensation</w:t>
      </w:r>
      <w:proofErr w:type="spellEnd"/>
      <w:r>
        <w:rPr>
          <w:rFonts w:ascii="Arial" w:eastAsia="Times New Roman" w:hAnsi="Arial" w:cs="Arial"/>
          <w:color w:val="000000"/>
          <w:sz w:val="18"/>
          <w:szCs w:val="18"/>
          <w:shd w:val="clear" w:color="auto" w:fill="FFFFFF"/>
        </w:rPr>
        <w:t xml:space="preserve">, HCC, </w:t>
      </w:r>
      <w:proofErr w:type="spellStart"/>
      <w:r>
        <w:rPr>
          <w:rFonts w:ascii="Arial" w:eastAsia="Times New Roman" w:hAnsi="Arial" w:cs="Arial"/>
          <w:color w:val="000000"/>
          <w:sz w:val="18"/>
          <w:szCs w:val="18"/>
          <w:shd w:val="clear" w:color="auto" w:fill="FFFFFF"/>
        </w:rPr>
        <w:t>extrahepatic</w:t>
      </w:r>
      <w:proofErr w:type="spellEnd"/>
      <w:r>
        <w:rPr>
          <w:rFonts w:ascii="Arial" w:eastAsia="Times New Roman" w:hAnsi="Arial" w:cs="Arial"/>
          <w:color w:val="000000"/>
          <w:sz w:val="18"/>
          <w:szCs w:val="18"/>
          <w:shd w:val="clear" w:color="auto" w:fill="FFFFFF"/>
        </w:rPr>
        <w:t xml:space="preserve"> manifestations. </w:t>
      </w:r>
      <w:proofErr w:type="gramStart"/>
      <w:r>
        <w:rPr>
          <w:rFonts w:ascii="Arial" w:eastAsia="Times New Roman" w:hAnsi="Arial" w:cs="Arial"/>
          <w:color w:val="000000"/>
          <w:sz w:val="18"/>
          <w:szCs w:val="18"/>
          <w:shd w:val="clear" w:color="auto" w:fill="FFFFFF"/>
        </w:rPr>
        <w:t xml:space="preserve">Worse prognosis with longer </w:t>
      </w:r>
      <w:proofErr w:type="spellStart"/>
      <w:r>
        <w:rPr>
          <w:rFonts w:ascii="Arial" w:eastAsia="Times New Roman" w:hAnsi="Arial" w:cs="Arial"/>
          <w:color w:val="000000"/>
          <w:sz w:val="18"/>
          <w:szCs w:val="18"/>
          <w:shd w:val="clear" w:color="auto" w:fill="FFFFFF"/>
        </w:rPr>
        <w:t>replicative</w:t>
      </w:r>
      <w:proofErr w:type="spellEnd"/>
      <w:r>
        <w:rPr>
          <w:rFonts w:ascii="Arial" w:eastAsia="Times New Roman" w:hAnsi="Arial" w:cs="Arial"/>
          <w:color w:val="000000"/>
          <w:sz w:val="18"/>
          <w:szCs w:val="18"/>
          <w:shd w:val="clear" w:color="auto" w:fill="FFFFFF"/>
        </w:rPr>
        <w:t xml:space="preserve"> phase (longer duration of </w:t>
      </w:r>
      <w:proofErr w:type="spellStart"/>
      <w:r>
        <w:rPr>
          <w:rFonts w:ascii="Arial" w:eastAsia="Times New Roman" w:hAnsi="Arial" w:cs="Arial"/>
          <w:color w:val="000000"/>
          <w:sz w:val="18"/>
          <w:szCs w:val="18"/>
          <w:shd w:val="clear" w:color="auto" w:fill="FFFFFF"/>
        </w:rPr>
        <w:t>necroinflammation</w:t>
      </w:r>
      <w:proofErr w:type="spellEnd"/>
      <w:r>
        <w:rPr>
          <w:rFonts w:ascii="Arial" w:eastAsia="Times New Roman" w:hAnsi="Arial" w:cs="Arial"/>
          <w:color w:val="000000"/>
          <w:sz w:val="18"/>
          <w:szCs w:val="18"/>
          <w:shd w:val="clear" w:color="auto" w:fill="FFFFFF"/>
        </w:rPr>
        <w:t>).</w:t>
      </w:r>
      <w:proofErr w:type="gramEnd"/>
      <w:r>
        <w:rPr>
          <w:rFonts w:ascii="Arial" w:eastAsia="Times New Roman" w:hAnsi="Arial" w:cs="Arial"/>
          <w:color w:val="000000"/>
          <w:sz w:val="18"/>
          <w:szCs w:val="18"/>
          <w:shd w:val="clear" w:color="auto" w:fill="FFFFFF"/>
        </w:rPr>
        <w:t xml:space="preserve"> </w:t>
      </w:r>
    </w:p>
    <w:p w:rsidR="004B1D4C" w:rsidRDefault="004B1D4C" w:rsidP="004B1D4C">
      <w:pPr>
        <w:shd w:val="clear" w:color="auto" w:fill="FFFFFF"/>
        <w:spacing w:after="0" w:line="240" w:lineRule="auto"/>
        <w:textAlignment w:val="baseline"/>
        <w:rPr>
          <w:rFonts w:ascii="Arial" w:eastAsia="Times New Roman" w:hAnsi="Arial" w:cs="Arial"/>
          <w:color w:val="000000"/>
          <w:sz w:val="18"/>
          <w:szCs w:val="18"/>
          <w:shd w:val="clear" w:color="auto" w:fill="FFFFFF"/>
        </w:rPr>
      </w:pPr>
    </w:p>
    <w:p w:rsidR="00B1613A" w:rsidRPr="00B1613A" w:rsidRDefault="00B1613A" w:rsidP="00B1613A">
      <w:pPr>
        <w:spacing w:after="0" w:line="240" w:lineRule="auto"/>
        <w:rPr>
          <w:rFonts w:ascii="Arial" w:eastAsia="Times New Roman" w:hAnsi="Arial" w:cs="Arial"/>
          <w:sz w:val="18"/>
          <w:szCs w:val="18"/>
        </w:rPr>
      </w:pPr>
      <w:r w:rsidRPr="00B1613A">
        <w:rPr>
          <w:rFonts w:ascii="Arial" w:eastAsia="Times New Roman" w:hAnsi="Arial" w:cs="Arial"/>
          <w:b/>
          <w:color w:val="000000"/>
          <w:sz w:val="18"/>
          <w:szCs w:val="18"/>
          <w:shd w:val="clear" w:color="auto" w:fill="FFFFFF"/>
        </w:rPr>
        <w:t>Treatment at CCRMC</w:t>
      </w:r>
      <w:r w:rsidRPr="00B1613A">
        <w:rPr>
          <w:rFonts w:ascii="Arial" w:eastAsia="Times New Roman" w:hAnsi="Arial" w:cs="Arial"/>
          <w:color w:val="000000"/>
          <w:sz w:val="18"/>
          <w:szCs w:val="18"/>
          <w:shd w:val="clear" w:color="auto" w:fill="FFFFFF"/>
        </w:rPr>
        <w:t xml:space="preserve">: </w:t>
      </w:r>
    </w:p>
    <w:p w:rsidR="00B1613A" w:rsidRPr="004B1D4C" w:rsidRDefault="00B1613A" w:rsidP="00B1613A">
      <w:pPr>
        <w:numPr>
          <w:ilvl w:val="0"/>
          <w:numId w:val="5"/>
        </w:numPr>
        <w:shd w:val="clear" w:color="auto" w:fill="FFFFFF"/>
        <w:spacing w:after="0" w:line="240" w:lineRule="auto"/>
        <w:textAlignment w:val="baseline"/>
        <w:rPr>
          <w:rFonts w:ascii="Arial" w:eastAsia="Times New Roman" w:hAnsi="Arial" w:cs="Arial"/>
          <w:color w:val="000000"/>
          <w:sz w:val="18"/>
          <w:szCs w:val="18"/>
        </w:rPr>
      </w:pPr>
      <w:proofErr w:type="spellStart"/>
      <w:r w:rsidRPr="004B1D4C">
        <w:rPr>
          <w:rFonts w:ascii="Arial" w:eastAsia="Times New Roman" w:hAnsi="Arial" w:cs="Arial"/>
          <w:b/>
          <w:color w:val="000000"/>
          <w:sz w:val="18"/>
          <w:szCs w:val="18"/>
          <w:shd w:val="clear" w:color="auto" w:fill="FFFFFF"/>
        </w:rPr>
        <w:t>Entecavir</w:t>
      </w:r>
      <w:proofErr w:type="spellEnd"/>
      <w:r w:rsidRPr="004B1D4C">
        <w:rPr>
          <w:rFonts w:ascii="Arial" w:eastAsia="Times New Roman" w:hAnsi="Arial" w:cs="Arial"/>
          <w:b/>
          <w:color w:val="000000"/>
          <w:sz w:val="18"/>
          <w:szCs w:val="18"/>
          <w:shd w:val="clear" w:color="auto" w:fill="FFFFFF"/>
        </w:rPr>
        <w:t xml:space="preserve"> </w:t>
      </w:r>
      <w:r w:rsidRPr="004B1D4C">
        <w:rPr>
          <w:rFonts w:ascii="Arial" w:eastAsia="Times New Roman" w:hAnsi="Arial" w:cs="Arial"/>
          <w:color w:val="000000"/>
          <w:sz w:val="18"/>
          <w:szCs w:val="18"/>
          <w:shd w:val="clear" w:color="auto" w:fill="FFFFFF"/>
        </w:rPr>
        <w:t xml:space="preserve">– low rate of drug resistance, potent antiviral (reverse transcriptase inhibitor). Needs to be taken on an empty stomach 2 hrs before/after meal. Pregnancy class C. </w:t>
      </w:r>
      <w:r w:rsidR="00614F9E" w:rsidRPr="004B1D4C">
        <w:rPr>
          <w:rFonts w:ascii="Arial" w:eastAsia="Times New Roman" w:hAnsi="Arial" w:cs="Arial"/>
          <w:color w:val="000000"/>
          <w:sz w:val="18"/>
          <w:szCs w:val="18"/>
          <w:shd w:val="clear" w:color="auto" w:fill="FFFFFF"/>
        </w:rPr>
        <w:t>Better for renal insufficiency.</w:t>
      </w:r>
    </w:p>
    <w:p w:rsidR="007F189F" w:rsidRPr="004B1D4C" w:rsidRDefault="00B1613A" w:rsidP="007F189F">
      <w:pPr>
        <w:numPr>
          <w:ilvl w:val="0"/>
          <w:numId w:val="5"/>
        </w:numPr>
        <w:shd w:val="clear" w:color="auto" w:fill="FFFFFF"/>
        <w:spacing w:after="0" w:line="240" w:lineRule="auto"/>
        <w:textAlignment w:val="baseline"/>
        <w:rPr>
          <w:rFonts w:ascii="Arial" w:eastAsia="Times New Roman" w:hAnsi="Arial" w:cs="Arial"/>
          <w:color w:val="000000"/>
          <w:sz w:val="18"/>
          <w:szCs w:val="18"/>
        </w:rPr>
      </w:pPr>
      <w:proofErr w:type="spellStart"/>
      <w:r w:rsidRPr="004B1D4C">
        <w:rPr>
          <w:rFonts w:ascii="Arial" w:eastAsia="Times New Roman" w:hAnsi="Arial" w:cs="Arial"/>
          <w:b/>
          <w:color w:val="000000"/>
          <w:sz w:val="18"/>
          <w:szCs w:val="18"/>
          <w:shd w:val="clear" w:color="auto" w:fill="FFFFFF"/>
        </w:rPr>
        <w:t>Tenofovir</w:t>
      </w:r>
      <w:proofErr w:type="spellEnd"/>
      <w:r w:rsidRPr="004B1D4C">
        <w:rPr>
          <w:rFonts w:ascii="Arial" w:eastAsia="Times New Roman" w:hAnsi="Arial" w:cs="Arial"/>
          <w:color w:val="000000"/>
          <w:sz w:val="18"/>
          <w:szCs w:val="18"/>
          <w:shd w:val="clear" w:color="auto" w:fill="FFFFFF"/>
        </w:rPr>
        <w:t xml:space="preserve"> – same low rate of resistance, daily medication, </w:t>
      </w:r>
      <w:proofErr w:type="spellStart"/>
      <w:r w:rsidRPr="004B1D4C">
        <w:rPr>
          <w:rFonts w:ascii="Arial" w:eastAsia="Times New Roman" w:hAnsi="Arial" w:cs="Arial"/>
          <w:color w:val="000000"/>
          <w:sz w:val="18"/>
          <w:szCs w:val="18"/>
          <w:shd w:val="clear" w:color="auto" w:fill="FFFFFF"/>
        </w:rPr>
        <w:t>renally</w:t>
      </w:r>
      <w:proofErr w:type="spellEnd"/>
      <w:r w:rsidRPr="004B1D4C">
        <w:rPr>
          <w:rFonts w:ascii="Arial" w:eastAsia="Times New Roman" w:hAnsi="Arial" w:cs="Arial"/>
          <w:color w:val="000000"/>
          <w:sz w:val="18"/>
          <w:szCs w:val="18"/>
          <w:shd w:val="clear" w:color="auto" w:fill="FFFFFF"/>
        </w:rPr>
        <w:t xml:space="preserve"> dosed, age &gt; 12 (decreases bone mineral density). Pregnancy class B. </w:t>
      </w:r>
    </w:p>
    <w:p w:rsidR="007F189F" w:rsidRPr="004B1D4C" w:rsidRDefault="00614F9E" w:rsidP="00B1613A">
      <w:pPr>
        <w:numPr>
          <w:ilvl w:val="0"/>
          <w:numId w:val="5"/>
        </w:numPr>
        <w:shd w:val="clear" w:color="auto" w:fill="FFFFFF"/>
        <w:spacing w:after="0" w:line="240" w:lineRule="auto"/>
        <w:textAlignment w:val="baseline"/>
        <w:rPr>
          <w:rFonts w:ascii="Arial" w:eastAsia="Times New Roman" w:hAnsi="Arial" w:cs="Arial"/>
          <w:color w:val="000000"/>
          <w:sz w:val="18"/>
          <w:szCs w:val="18"/>
        </w:rPr>
      </w:pPr>
      <w:r w:rsidRPr="004B1D4C">
        <w:rPr>
          <w:rFonts w:ascii="Arial" w:eastAsia="Times New Roman" w:hAnsi="Arial" w:cs="Arial"/>
          <w:color w:val="000000"/>
          <w:sz w:val="18"/>
          <w:szCs w:val="18"/>
        </w:rPr>
        <w:t xml:space="preserve">End point of treatment – </w:t>
      </w:r>
      <w:proofErr w:type="spellStart"/>
      <w:r w:rsidRPr="004B1D4C">
        <w:rPr>
          <w:rFonts w:ascii="Arial" w:eastAsia="Times New Roman" w:hAnsi="Arial" w:cs="Arial"/>
          <w:color w:val="000000"/>
          <w:sz w:val="18"/>
          <w:szCs w:val="18"/>
        </w:rPr>
        <w:t>HBeAg</w:t>
      </w:r>
      <w:proofErr w:type="spellEnd"/>
      <w:r w:rsidRPr="004B1D4C">
        <w:rPr>
          <w:rFonts w:ascii="Arial" w:eastAsia="Times New Roman" w:hAnsi="Arial" w:cs="Arial"/>
          <w:color w:val="000000"/>
          <w:sz w:val="18"/>
          <w:szCs w:val="18"/>
        </w:rPr>
        <w:t xml:space="preserve"> </w:t>
      </w:r>
      <w:proofErr w:type="spellStart"/>
      <w:r w:rsidRPr="004B1D4C">
        <w:rPr>
          <w:rFonts w:ascii="Arial" w:eastAsia="Times New Roman" w:hAnsi="Arial" w:cs="Arial"/>
          <w:color w:val="000000"/>
          <w:sz w:val="18"/>
          <w:szCs w:val="18"/>
        </w:rPr>
        <w:t>seroconversion</w:t>
      </w:r>
      <w:proofErr w:type="spellEnd"/>
      <w:r w:rsidRPr="004B1D4C">
        <w:rPr>
          <w:rFonts w:ascii="Arial" w:eastAsia="Times New Roman" w:hAnsi="Arial" w:cs="Arial"/>
          <w:color w:val="000000"/>
          <w:sz w:val="18"/>
          <w:szCs w:val="18"/>
        </w:rPr>
        <w:t xml:space="preserve"> (may take 4-5 yrs to indefinitely) if </w:t>
      </w:r>
      <w:proofErr w:type="spellStart"/>
      <w:r w:rsidRPr="004B1D4C">
        <w:rPr>
          <w:rFonts w:ascii="Arial" w:eastAsia="Times New Roman" w:hAnsi="Arial" w:cs="Arial"/>
          <w:color w:val="000000"/>
          <w:sz w:val="18"/>
          <w:szCs w:val="18"/>
        </w:rPr>
        <w:t>HBeAg</w:t>
      </w:r>
      <w:proofErr w:type="spellEnd"/>
      <w:r w:rsidRPr="004B1D4C">
        <w:rPr>
          <w:rFonts w:ascii="Arial" w:eastAsia="Times New Roman" w:hAnsi="Arial" w:cs="Arial"/>
          <w:color w:val="000000"/>
          <w:sz w:val="18"/>
          <w:szCs w:val="18"/>
        </w:rPr>
        <w:t xml:space="preserve"> pos. If </w:t>
      </w:r>
      <w:proofErr w:type="spellStart"/>
      <w:r w:rsidRPr="004B1D4C">
        <w:rPr>
          <w:rFonts w:ascii="Arial" w:eastAsia="Times New Roman" w:hAnsi="Arial" w:cs="Arial"/>
          <w:color w:val="000000"/>
          <w:sz w:val="18"/>
          <w:szCs w:val="18"/>
        </w:rPr>
        <w:t>HBeAg</w:t>
      </w:r>
      <w:proofErr w:type="spellEnd"/>
      <w:r w:rsidRPr="004B1D4C">
        <w:rPr>
          <w:rFonts w:ascii="Arial" w:eastAsia="Times New Roman" w:hAnsi="Arial" w:cs="Arial"/>
          <w:color w:val="000000"/>
          <w:sz w:val="18"/>
          <w:szCs w:val="18"/>
        </w:rPr>
        <w:t xml:space="preserve"> </w:t>
      </w:r>
      <w:proofErr w:type="spellStart"/>
      <w:r w:rsidRPr="004B1D4C">
        <w:rPr>
          <w:rFonts w:ascii="Arial" w:eastAsia="Times New Roman" w:hAnsi="Arial" w:cs="Arial"/>
          <w:color w:val="000000"/>
          <w:sz w:val="18"/>
          <w:szCs w:val="18"/>
        </w:rPr>
        <w:t>neg</w:t>
      </w:r>
      <w:proofErr w:type="spellEnd"/>
      <w:r w:rsidRPr="004B1D4C">
        <w:rPr>
          <w:rFonts w:ascii="Arial" w:eastAsia="Times New Roman" w:hAnsi="Arial" w:cs="Arial"/>
          <w:color w:val="000000"/>
          <w:sz w:val="18"/>
          <w:szCs w:val="18"/>
        </w:rPr>
        <w:t xml:space="preserve">, unclear endpoint – likely until confirmed loss of </w:t>
      </w:r>
      <w:proofErr w:type="spellStart"/>
      <w:r w:rsidRPr="004B1D4C">
        <w:rPr>
          <w:rFonts w:ascii="Arial" w:eastAsia="Times New Roman" w:hAnsi="Arial" w:cs="Arial"/>
          <w:color w:val="000000"/>
          <w:sz w:val="18"/>
          <w:szCs w:val="18"/>
        </w:rPr>
        <w:t>HBsAg</w:t>
      </w:r>
      <w:proofErr w:type="spellEnd"/>
      <w:r w:rsidR="007553E1" w:rsidRPr="004B1D4C">
        <w:rPr>
          <w:rFonts w:ascii="Arial" w:eastAsia="Times New Roman" w:hAnsi="Arial" w:cs="Arial"/>
          <w:color w:val="000000"/>
          <w:sz w:val="18"/>
          <w:szCs w:val="18"/>
        </w:rPr>
        <w:t xml:space="preserve">. Lifelong treatment for cirrhosis. </w:t>
      </w:r>
    </w:p>
    <w:p w:rsidR="007553E1" w:rsidRPr="004B1D4C" w:rsidRDefault="007553E1" w:rsidP="00B1613A">
      <w:pPr>
        <w:numPr>
          <w:ilvl w:val="0"/>
          <w:numId w:val="5"/>
        </w:numPr>
        <w:shd w:val="clear" w:color="auto" w:fill="FFFFFF"/>
        <w:spacing w:after="0" w:line="240" w:lineRule="auto"/>
        <w:textAlignment w:val="baseline"/>
        <w:rPr>
          <w:rFonts w:ascii="Arial" w:eastAsia="Times New Roman" w:hAnsi="Arial" w:cs="Arial"/>
          <w:color w:val="000000"/>
          <w:sz w:val="18"/>
          <w:szCs w:val="18"/>
        </w:rPr>
      </w:pPr>
      <w:proofErr w:type="spellStart"/>
      <w:r w:rsidRPr="004B1D4C">
        <w:rPr>
          <w:rFonts w:ascii="Arial" w:eastAsia="Times New Roman" w:hAnsi="Arial" w:cs="Arial"/>
          <w:color w:val="000000"/>
          <w:sz w:val="18"/>
          <w:szCs w:val="18"/>
        </w:rPr>
        <w:lastRenderedPageBreak/>
        <w:t>Postexposure</w:t>
      </w:r>
      <w:proofErr w:type="spellEnd"/>
      <w:r w:rsidRPr="004B1D4C">
        <w:rPr>
          <w:rFonts w:ascii="Arial" w:eastAsia="Times New Roman" w:hAnsi="Arial" w:cs="Arial"/>
          <w:color w:val="000000"/>
          <w:sz w:val="18"/>
          <w:szCs w:val="18"/>
        </w:rPr>
        <w:t xml:space="preserve"> prophylaxis: for all who are </w:t>
      </w:r>
      <w:proofErr w:type="spellStart"/>
      <w:r w:rsidRPr="004B1D4C">
        <w:rPr>
          <w:rFonts w:ascii="Arial" w:eastAsia="Times New Roman" w:hAnsi="Arial" w:cs="Arial"/>
          <w:color w:val="000000"/>
          <w:sz w:val="18"/>
          <w:szCs w:val="18"/>
        </w:rPr>
        <w:t>nonvaccinated</w:t>
      </w:r>
      <w:proofErr w:type="spellEnd"/>
      <w:r w:rsidRPr="004B1D4C">
        <w:rPr>
          <w:rFonts w:ascii="Arial" w:eastAsia="Times New Roman" w:hAnsi="Arial" w:cs="Arial"/>
          <w:color w:val="000000"/>
          <w:sz w:val="18"/>
          <w:szCs w:val="18"/>
        </w:rPr>
        <w:t xml:space="preserve"> with exposure to blood/secretions. 1</w:t>
      </w:r>
      <w:r w:rsidRPr="004B1D4C">
        <w:rPr>
          <w:rFonts w:ascii="Arial" w:eastAsia="Times New Roman" w:hAnsi="Arial" w:cs="Arial"/>
          <w:color w:val="000000"/>
          <w:sz w:val="18"/>
          <w:szCs w:val="18"/>
          <w:vertAlign w:val="superscript"/>
        </w:rPr>
        <w:t>st</w:t>
      </w:r>
      <w:r w:rsidRPr="004B1D4C">
        <w:rPr>
          <w:rFonts w:ascii="Arial" w:eastAsia="Times New Roman" w:hAnsi="Arial" w:cs="Arial"/>
          <w:color w:val="000000"/>
          <w:sz w:val="18"/>
          <w:szCs w:val="18"/>
        </w:rPr>
        <w:t xml:space="preserve"> dose of vaccine as early as possible, optimally within 12 hrs. If source is </w:t>
      </w:r>
      <w:proofErr w:type="spellStart"/>
      <w:r w:rsidRPr="004B1D4C">
        <w:rPr>
          <w:rFonts w:ascii="Arial" w:eastAsia="Times New Roman" w:hAnsi="Arial" w:cs="Arial"/>
          <w:color w:val="000000"/>
          <w:sz w:val="18"/>
          <w:szCs w:val="18"/>
        </w:rPr>
        <w:t>HBsAg</w:t>
      </w:r>
      <w:proofErr w:type="spellEnd"/>
      <w:r w:rsidRPr="004B1D4C">
        <w:rPr>
          <w:rFonts w:ascii="Arial" w:eastAsia="Times New Roman" w:hAnsi="Arial" w:cs="Arial"/>
          <w:color w:val="000000"/>
          <w:sz w:val="18"/>
          <w:szCs w:val="18"/>
        </w:rPr>
        <w:t xml:space="preserve"> pos, should also receive HBIG. 2 additional vaccine doses per usual schedule. </w:t>
      </w:r>
    </w:p>
    <w:p w:rsidR="007553E1" w:rsidRPr="004B1D4C" w:rsidRDefault="007553E1" w:rsidP="007553E1">
      <w:pPr>
        <w:shd w:val="clear" w:color="auto" w:fill="FFFFFF"/>
        <w:spacing w:after="0" w:line="240" w:lineRule="auto"/>
        <w:textAlignment w:val="baseline"/>
        <w:rPr>
          <w:rFonts w:ascii="Arial" w:eastAsia="Times New Roman" w:hAnsi="Arial" w:cs="Arial"/>
          <w:color w:val="000000"/>
          <w:sz w:val="18"/>
          <w:szCs w:val="18"/>
        </w:rPr>
      </w:pPr>
    </w:p>
    <w:p w:rsidR="007553E1" w:rsidRPr="004B1D4C" w:rsidRDefault="007553E1" w:rsidP="007553E1">
      <w:pPr>
        <w:shd w:val="clear" w:color="auto" w:fill="FFFFFF"/>
        <w:spacing w:after="0" w:line="240" w:lineRule="auto"/>
        <w:textAlignment w:val="baseline"/>
        <w:rPr>
          <w:rFonts w:ascii="Arial" w:eastAsia="Times New Roman" w:hAnsi="Arial" w:cs="Arial"/>
          <w:b/>
          <w:color w:val="000000"/>
          <w:sz w:val="18"/>
          <w:szCs w:val="18"/>
        </w:rPr>
      </w:pPr>
      <w:r w:rsidRPr="004B1D4C">
        <w:rPr>
          <w:rFonts w:ascii="Arial" w:eastAsia="Times New Roman" w:hAnsi="Arial" w:cs="Arial"/>
          <w:b/>
          <w:color w:val="000000"/>
          <w:sz w:val="18"/>
          <w:szCs w:val="18"/>
        </w:rPr>
        <w:t xml:space="preserve">Additional counseling for chronic hepatitis B: </w:t>
      </w:r>
    </w:p>
    <w:p w:rsidR="00B1613A" w:rsidRPr="004B1D4C" w:rsidRDefault="00B1613A" w:rsidP="007553E1">
      <w:pPr>
        <w:pStyle w:val="ListParagraph"/>
        <w:numPr>
          <w:ilvl w:val="0"/>
          <w:numId w:val="9"/>
        </w:numPr>
        <w:spacing w:after="0" w:line="240" w:lineRule="auto"/>
        <w:rPr>
          <w:rFonts w:ascii="Arial" w:eastAsia="Times New Roman" w:hAnsi="Arial" w:cs="Arial"/>
          <w:sz w:val="18"/>
          <w:szCs w:val="18"/>
        </w:rPr>
      </w:pPr>
      <w:r w:rsidRPr="004B1D4C">
        <w:rPr>
          <w:rFonts w:ascii="Arial" w:eastAsia="Times New Roman" w:hAnsi="Arial" w:cs="Arial"/>
          <w:color w:val="000000"/>
          <w:sz w:val="18"/>
          <w:szCs w:val="18"/>
          <w:shd w:val="clear" w:color="auto" w:fill="FFFFFF"/>
        </w:rPr>
        <w:t xml:space="preserve">HCC monitoring: </w:t>
      </w:r>
      <w:r w:rsidR="007553E1" w:rsidRPr="004B1D4C">
        <w:rPr>
          <w:rFonts w:ascii="Arial" w:eastAsia="Times New Roman" w:hAnsi="Arial" w:cs="Arial"/>
          <w:color w:val="000000"/>
          <w:sz w:val="18"/>
          <w:szCs w:val="18"/>
          <w:shd w:val="clear" w:color="auto" w:fill="FFFFFF"/>
        </w:rPr>
        <w:t xml:space="preserve">2010 AASLD guidelines: ultrasound q 6 </w:t>
      </w:r>
      <w:proofErr w:type="spellStart"/>
      <w:r w:rsidR="007553E1" w:rsidRPr="004B1D4C">
        <w:rPr>
          <w:rFonts w:ascii="Arial" w:eastAsia="Times New Roman" w:hAnsi="Arial" w:cs="Arial"/>
          <w:color w:val="000000"/>
          <w:sz w:val="18"/>
          <w:szCs w:val="18"/>
          <w:shd w:val="clear" w:color="auto" w:fill="FFFFFF"/>
        </w:rPr>
        <w:t>mos</w:t>
      </w:r>
      <w:proofErr w:type="spellEnd"/>
      <w:r w:rsidR="008F186D" w:rsidRPr="004B1D4C">
        <w:rPr>
          <w:rFonts w:ascii="Arial" w:eastAsia="Times New Roman" w:hAnsi="Arial" w:cs="Arial"/>
          <w:color w:val="000000"/>
          <w:sz w:val="18"/>
          <w:szCs w:val="18"/>
          <w:shd w:val="clear" w:color="auto" w:fill="FFFFFF"/>
        </w:rPr>
        <w:t xml:space="preserve"> in populations with annual HCC incidence rate &gt;0.2%, which includes </w:t>
      </w:r>
      <w:r w:rsidR="007553E1" w:rsidRPr="004B1D4C">
        <w:rPr>
          <w:rFonts w:ascii="Arial" w:eastAsia="Times New Roman" w:hAnsi="Arial" w:cs="Arial"/>
          <w:color w:val="000000"/>
          <w:sz w:val="18"/>
          <w:szCs w:val="18"/>
          <w:shd w:val="clear" w:color="auto" w:fill="FFFFFF"/>
        </w:rPr>
        <w:t xml:space="preserve">Asian men &gt; 40 yrs, Asian women &gt; 50 yrs, Africans and North American blacks, </w:t>
      </w:r>
      <w:proofErr w:type="spellStart"/>
      <w:r w:rsidR="007553E1" w:rsidRPr="004B1D4C">
        <w:rPr>
          <w:rFonts w:ascii="Arial" w:eastAsia="Times New Roman" w:hAnsi="Arial" w:cs="Arial"/>
          <w:color w:val="000000"/>
          <w:sz w:val="18"/>
          <w:szCs w:val="18"/>
          <w:shd w:val="clear" w:color="auto" w:fill="FFFFFF"/>
        </w:rPr>
        <w:t>fam</w:t>
      </w:r>
      <w:proofErr w:type="spellEnd"/>
      <w:r w:rsidR="007553E1" w:rsidRPr="004B1D4C">
        <w:rPr>
          <w:rFonts w:ascii="Arial" w:eastAsia="Times New Roman" w:hAnsi="Arial" w:cs="Arial"/>
          <w:color w:val="000000"/>
          <w:sz w:val="18"/>
          <w:szCs w:val="18"/>
          <w:shd w:val="clear" w:color="auto" w:fill="FFFFFF"/>
        </w:rPr>
        <w:t xml:space="preserve"> </w:t>
      </w:r>
      <w:proofErr w:type="spellStart"/>
      <w:r w:rsidR="007553E1" w:rsidRPr="004B1D4C">
        <w:rPr>
          <w:rFonts w:ascii="Arial" w:eastAsia="Times New Roman" w:hAnsi="Arial" w:cs="Arial"/>
          <w:color w:val="000000"/>
          <w:sz w:val="18"/>
          <w:szCs w:val="18"/>
          <w:shd w:val="clear" w:color="auto" w:fill="FFFFFF"/>
        </w:rPr>
        <w:t>hx</w:t>
      </w:r>
      <w:proofErr w:type="spellEnd"/>
      <w:r w:rsidR="007553E1" w:rsidRPr="004B1D4C">
        <w:rPr>
          <w:rFonts w:ascii="Arial" w:eastAsia="Times New Roman" w:hAnsi="Arial" w:cs="Arial"/>
          <w:color w:val="000000"/>
          <w:sz w:val="18"/>
          <w:szCs w:val="18"/>
          <w:shd w:val="clear" w:color="auto" w:fill="FFFFFF"/>
        </w:rPr>
        <w:t xml:space="preserve"> of HCC, </w:t>
      </w:r>
      <w:r w:rsidR="008F186D" w:rsidRPr="004B1D4C">
        <w:rPr>
          <w:rFonts w:ascii="Arial" w:eastAsia="Times New Roman" w:hAnsi="Arial" w:cs="Arial"/>
          <w:color w:val="000000"/>
          <w:sz w:val="18"/>
          <w:szCs w:val="18"/>
          <w:shd w:val="clear" w:color="auto" w:fill="FFFFFF"/>
        </w:rPr>
        <w:t>those with HBV and cirrhosis</w:t>
      </w:r>
      <w:r w:rsidR="007553E1" w:rsidRPr="004B1D4C">
        <w:rPr>
          <w:rFonts w:ascii="Arial" w:eastAsia="Times New Roman" w:hAnsi="Arial" w:cs="Arial"/>
          <w:color w:val="000000"/>
          <w:sz w:val="18"/>
          <w:szCs w:val="18"/>
          <w:shd w:val="clear" w:color="auto" w:fill="FFFFFF"/>
        </w:rPr>
        <w:t>.</w:t>
      </w:r>
      <w:r w:rsidR="008F186D" w:rsidRPr="004B1D4C">
        <w:rPr>
          <w:rFonts w:ascii="Arial" w:eastAsia="Times New Roman" w:hAnsi="Arial" w:cs="Arial"/>
          <w:color w:val="000000"/>
          <w:sz w:val="18"/>
          <w:szCs w:val="18"/>
          <w:shd w:val="clear" w:color="auto" w:fill="FFFFFF"/>
        </w:rPr>
        <w:t xml:space="preserve"> Do not order AFP alone or alternating with U/S</w:t>
      </w:r>
      <w:r w:rsidR="004B1D4C" w:rsidRPr="004B1D4C">
        <w:rPr>
          <w:rFonts w:ascii="Arial" w:eastAsia="Times New Roman" w:hAnsi="Arial" w:cs="Arial"/>
          <w:color w:val="000000"/>
          <w:sz w:val="18"/>
          <w:szCs w:val="18"/>
          <w:shd w:val="clear" w:color="auto" w:fill="FFFFFF"/>
        </w:rPr>
        <w:t xml:space="preserve"> (lacks adequate sensitivity/specificity). </w:t>
      </w:r>
    </w:p>
    <w:p w:rsidR="007553E1" w:rsidRPr="004B1D4C" w:rsidRDefault="007553E1" w:rsidP="007553E1">
      <w:pPr>
        <w:pStyle w:val="ListParagraph"/>
        <w:numPr>
          <w:ilvl w:val="0"/>
          <w:numId w:val="9"/>
        </w:numPr>
        <w:spacing w:after="0" w:line="240" w:lineRule="auto"/>
        <w:rPr>
          <w:rFonts w:ascii="Arial" w:eastAsia="Times New Roman" w:hAnsi="Arial" w:cs="Arial"/>
          <w:sz w:val="18"/>
          <w:szCs w:val="18"/>
        </w:rPr>
      </w:pPr>
      <w:r w:rsidRPr="004B1D4C">
        <w:rPr>
          <w:rFonts w:ascii="Arial" w:eastAsia="Times New Roman" w:hAnsi="Arial" w:cs="Arial"/>
          <w:color w:val="000000"/>
          <w:sz w:val="18"/>
          <w:szCs w:val="18"/>
          <w:shd w:val="clear" w:color="auto" w:fill="FFFFFF"/>
        </w:rPr>
        <w:t xml:space="preserve">Heavy alcohol use associated with worsening liver disease and increased risk of HCC. Unclear safe amount of alcohol, but should abstain if they have liver injury. </w:t>
      </w:r>
    </w:p>
    <w:p w:rsidR="007553E1" w:rsidRPr="004B1D4C" w:rsidRDefault="007553E1" w:rsidP="007553E1">
      <w:pPr>
        <w:pStyle w:val="ListParagraph"/>
        <w:numPr>
          <w:ilvl w:val="0"/>
          <w:numId w:val="9"/>
        </w:numPr>
        <w:spacing w:after="0" w:line="240" w:lineRule="auto"/>
        <w:rPr>
          <w:rFonts w:ascii="Arial" w:eastAsia="Times New Roman" w:hAnsi="Arial" w:cs="Arial"/>
          <w:sz w:val="18"/>
          <w:szCs w:val="18"/>
        </w:rPr>
      </w:pPr>
      <w:r w:rsidRPr="004B1D4C">
        <w:rPr>
          <w:rFonts w:ascii="Arial" w:eastAsia="Times New Roman" w:hAnsi="Arial" w:cs="Arial"/>
          <w:color w:val="000000"/>
          <w:sz w:val="18"/>
          <w:szCs w:val="18"/>
          <w:shd w:val="clear" w:color="auto" w:fill="FFFFFF"/>
        </w:rPr>
        <w:t xml:space="preserve">Vaccinate close contacts. </w:t>
      </w:r>
    </w:p>
    <w:p w:rsidR="00D85B7C" w:rsidRPr="004B1D4C" w:rsidRDefault="007553E1" w:rsidP="00D85B7C">
      <w:pPr>
        <w:pStyle w:val="ListParagraph"/>
        <w:numPr>
          <w:ilvl w:val="0"/>
          <w:numId w:val="9"/>
        </w:numPr>
        <w:spacing w:after="0" w:line="240" w:lineRule="auto"/>
        <w:rPr>
          <w:rFonts w:ascii="Arial" w:eastAsia="Times New Roman" w:hAnsi="Arial" w:cs="Arial"/>
          <w:sz w:val="18"/>
          <w:szCs w:val="18"/>
        </w:rPr>
      </w:pPr>
      <w:r w:rsidRPr="004B1D4C">
        <w:rPr>
          <w:rFonts w:ascii="Arial" w:eastAsia="Times New Roman" w:hAnsi="Arial" w:cs="Arial"/>
          <w:color w:val="000000"/>
          <w:sz w:val="18"/>
          <w:szCs w:val="18"/>
          <w:shd w:val="clear" w:color="auto" w:fill="FFFFFF"/>
        </w:rPr>
        <w:t xml:space="preserve">Pregnancy: Treatment per algorithm. Vaccine and HBIG for infants following delivery if mother is </w:t>
      </w:r>
      <w:proofErr w:type="spellStart"/>
      <w:r w:rsidRPr="004B1D4C">
        <w:rPr>
          <w:rFonts w:ascii="Arial" w:eastAsia="Times New Roman" w:hAnsi="Arial" w:cs="Arial"/>
          <w:color w:val="000000"/>
          <w:sz w:val="18"/>
          <w:szCs w:val="18"/>
          <w:shd w:val="clear" w:color="auto" w:fill="FFFFFF"/>
        </w:rPr>
        <w:t>HBsAg</w:t>
      </w:r>
      <w:proofErr w:type="spellEnd"/>
      <w:r w:rsidRPr="004B1D4C">
        <w:rPr>
          <w:rFonts w:ascii="Arial" w:eastAsia="Times New Roman" w:hAnsi="Arial" w:cs="Arial"/>
          <w:color w:val="000000"/>
          <w:sz w:val="18"/>
          <w:szCs w:val="18"/>
          <w:shd w:val="clear" w:color="auto" w:fill="FFFFFF"/>
        </w:rPr>
        <w:t xml:space="preserve"> pos. </w:t>
      </w:r>
    </w:p>
    <w:p w:rsidR="00D85B7C" w:rsidRPr="004B1D4C" w:rsidRDefault="00D85B7C" w:rsidP="00D85B7C">
      <w:pPr>
        <w:pStyle w:val="ListParagraph"/>
        <w:spacing w:after="0" w:line="240" w:lineRule="auto"/>
        <w:rPr>
          <w:rFonts w:ascii="Arial" w:eastAsia="Times New Roman" w:hAnsi="Arial" w:cs="Arial"/>
          <w:sz w:val="18"/>
          <w:szCs w:val="18"/>
        </w:rPr>
      </w:pPr>
    </w:p>
    <w:p w:rsidR="008F13E8" w:rsidRPr="004B1D4C" w:rsidRDefault="00D85B7C" w:rsidP="008F13E8">
      <w:pPr>
        <w:spacing w:after="0" w:line="240" w:lineRule="auto"/>
        <w:rPr>
          <w:rFonts w:ascii="Arial" w:eastAsia="Times New Roman" w:hAnsi="Arial" w:cs="Arial"/>
          <w:b/>
          <w:sz w:val="18"/>
          <w:szCs w:val="18"/>
        </w:rPr>
      </w:pPr>
      <w:r w:rsidRPr="004B1D4C">
        <w:rPr>
          <w:rFonts w:ascii="Arial" w:eastAsia="Times New Roman" w:hAnsi="Arial" w:cs="Arial"/>
          <w:b/>
          <w:color w:val="000000"/>
          <w:sz w:val="18"/>
          <w:szCs w:val="18"/>
          <w:shd w:val="clear" w:color="auto" w:fill="FFFFFF"/>
        </w:rPr>
        <w:t>Hepatitis B Glossary</w:t>
      </w:r>
    </w:p>
    <w:p w:rsidR="008F13E8" w:rsidRPr="004B1D4C" w:rsidRDefault="008F13E8" w:rsidP="008F13E8">
      <w:pPr>
        <w:pStyle w:val="ListParagraph"/>
        <w:numPr>
          <w:ilvl w:val="0"/>
          <w:numId w:val="9"/>
        </w:numPr>
        <w:spacing w:after="0" w:line="240" w:lineRule="auto"/>
        <w:rPr>
          <w:rFonts w:ascii="Arial" w:eastAsia="Times New Roman" w:hAnsi="Arial" w:cs="Arial"/>
          <w:sz w:val="18"/>
          <w:szCs w:val="18"/>
        </w:rPr>
      </w:pPr>
      <w:proofErr w:type="spellStart"/>
      <w:r w:rsidRPr="004B1D4C">
        <w:rPr>
          <w:rFonts w:ascii="Arial" w:eastAsia="Times New Roman" w:hAnsi="Arial" w:cs="Arial"/>
          <w:sz w:val="18"/>
          <w:szCs w:val="18"/>
        </w:rPr>
        <w:t>HBeAg</w:t>
      </w:r>
      <w:proofErr w:type="spellEnd"/>
      <w:r w:rsidRPr="004B1D4C">
        <w:rPr>
          <w:rFonts w:ascii="Arial" w:eastAsia="Times New Roman" w:hAnsi="Arial" w:cs="Arial"/>
          <w:sz w:val="18"/>
          <w:szCs w:val="18"/>
        </w:rPr>
        <w:t xml:space="preserve"> clearance – loss </w:t>
      </w:r>
      <w:r w:rsidRPr="00B1613A">
        <w:rPr>
          <w:rFonts w:ascii="Arial" w:eastAsia="Times New Roman" w:hAnsi="Arial" w:cs="Arial"/>
          <w:color w:val="000000"/>
          <w:sz w:val="18"/>
          <w:szCs w:val="18"/>
          <w:shd w:val="clear" w:color="auto" w:fill="FFFFFF"/>
        </w:rPr>
        <w:t xml:space="preserve">of </w:t>
      </w:r>
      <w:proofErr w:type="spellStart"/>
      <w:r w:rsidRPr="00B1613A">
        <w:rPr>
          <w:rFonts w:ascii="Arial" w:eastAsia="Times New Roman" w:hAnsi="Arial" w:cs="Arial"/>
          <w:color w:val="000000"/>
          <w:sz w:val="18"/>
          <w:szCs w:val="18"/>
          <w:shd w:val="clear" w:color="auto" w:fill="FFFFFF"/>
        </w:rPr>
        <w:t>HBeAg</w:t>
      </w:r>
      <w:proofErr w:type="spellEnd"/>
      <w:r w:rsidRPr="00B1613A">
        <w:rPr>
          <w:rFonts w:ascii="Arial" w:eastAsia="Times New Roman" w:hAnsi="Arial" w:cs="Arial"/>
          <w:color w:val="000000"/>
          <w:sz w:val="18"/>
          <w:szCs w:val="18"/>
          <w:shd w:val="clear" w:color="auto" w:fill="FFFFFF"/>
        </w:rPr>
        <w:t xml:space="preserve"> in a person who was previously </w:t>
      </w:r>
      <w:proofErr w:type="spellStart"/>
      <w:r w:rsidRPr="00B1613A">
        <w:rPr>
          <w:rFonts w:ascii="Arial" w:eastAsia="Times New Roman" w:hAnsi="Arial" w:cs="Arial"/>
          <w:color w:val="000000"/>
          <w:sz w:val="18"/>
          <w:szCs w:val="18"/>
          <w:shd w:val="clear" w:color="auto" w:fill="FFFFFF"/>
        </w:rPr>
        <w:t>HBeAg</w:t>
      </w:r>
      <w:proofErr w:type="spellEnd"/>
      <w:r w:rsidRPr="00B1613A">
        <w:rPr>
          <w:rFonts w:ascii="Arial" w:eastAsia="Times New Roman" w:hAnsi="Arial" w:cs="Arial"/>
          <w:color w:val="000000"/>
          <w:sz w:val="18"/>
          <w:szCs w:val="18"/>
          <w:shd w:val="clear" w:color="auto" w:fill="FFFFFF"/>
        </w:rPr>
        <w:t xml:space="preserve"> positive.</w:t>
      </w:r>
    </w:p>
    <w:p w:rsidR="008F13E8" w:rsidRPr="004B1D4C" w:rsidRDefault="008F13E8" w:rsidP="008F13E8">
      <w:pPr>
        <w:pStyle w:val="ListParagraph"/>
        <w:numPr>
          <w:ilvl w:val="0"/>
          <w:numId w:val="9"/>
        </w:numPr>
        <w:spacing w:after="0" w:line="240" w:lineRule="auto"/>
        <w:rPr>
          <w:rFonts w:ascii="Arial" w:eastAsia="Times New Roman" w:hAnsi="Arial" w:cs="Arial"/>
          <w:sz w:val="18"/>
          <w:szCs w:val="18"/>
        </w:rPr>
      </w:pPr>
      <w:proofErr w:type="spellStart"/>
      <w:r w:rsidRPr="004B1D4C">
        <w:rPr>
          <w:rFonts w:ascii="Arial" w:eastAsia="Times New Roman" w:hAnsi="Arial" w:cs="Arial"/>
          <w:sz w:val="18"/>
          <w:szCs w:val="18"/>
        </w:rPr>
        <w:t>HBeAg</w:t>
      </w:r>
      <w:proofErr w:type="spellEnd"/>
      <w:r w:rsidRPr="004B1D4C">
        <w:rPr>
          <w:rFonts w:ascii="Arial" w:eastAsia="Times New Roman" w:hAnsi="Arial" w:cs="Arial"/>
          <w:sz w:val="18"/>
          <w:szCs w:val="18"/>
        </w:rPr>
        <w:t xml:space="preserve"> </w:t>
      </w:r>
      <w:proofErr w:type="spellStart"/>
      <w:r w:rsidRPr="004B1D4C">
        <w:rPr>
          <w:rFonts w:ascii="Arial" w:eastAsia="Times New Roman" w:hAnsi="Arial" w:cs="Arial"/>
          <w:sz w:val="18"/>
          <w:szCs w:val="18"/>
        </w:rPr>
        <w:t>seroconversion</w:t>
      </w:r>
      <w:proofErr w:type="spellEnd"/>
      <w:r w:rsidRPr="004B1D4C">
        <w:rPr>
          <w:rFonts w:ascii="Arial" w:eastAsia="Times New Roman" w:hAnsi="Arial" w:cs="Arial"/>
          <w:sz w:val="18"/>
          <w:szCs w:val="18"/>
        </w:rPr>
        <w:t xml:space="preserve"> - </w:t>
      </w:r>
      <w:r w:rsidRPr="00B1613A">
        <w:rPr>
          <w:rFonts w:ascii="Arial" w:eastAsia="Times New Roman" w:hAnsi="Arial" w:cs="Arial"/>
          <w:color w:val="000000"/>
          <w:sz w:val="18"/>
          <w:szCs w:val="18"/>
          <w:shd w:val="clear" w:color="auto" w:fill="FFFFFF"/>
        </w:rPr>
        <w:t xml:space="preserve">Loss of </w:t>
      </w:r>
      <w:proofErr w:type="spellStart"/>
      <w:r w:rsidRPr="00B1613A">
        <w:rPr>
          <w:rFonts w:ascii="Arial" w:eastAsia="Times New Roman" w:hAnsi="Arial" w:cs="Arial"/>
          <w:color w:val="000000"/>
          <w:sz w:val="18"/>
          <w:szCs w:val="18"/>
          <w:shd w:val="clear" w:color="auto" w:fill="FFFFFF"/>
        </w:rPr>
        <w:t>HBeAg</w:t>
      </w:r>
      <w:proofErr w:type="spellEnd"/>
      <w:r w:rsidRPr="00B1613A">
        <w:rPr>
          <w:rFonts w:ascii="Arial" w:eastAsia="Times New Roman" w:hAnsi="Arial" w:cs="Arial"/>
          <w:color w:val="000000"/>
          <w:sz w:val="18"/>
          <w:szCs w:val="18"/>
          <w:shd w:val="clear" w:color="auto" w:fill="FFFFFF"/>
        </w:rPr>
        <w:t xml:space="preserve"> and detection of anti-</w:t>
      </w:r>
      <w:proofErr w:type="spellStart"/>
      <w:r w:rsidRPr="00B1613A">
        <w:rPr>
          <w:rFonts w:ascii="Arial" w:eastAsia="Times New Roman" w:hAnsi="Arial" w:cs="Arial"/>
          <w:color w:val="000000"/>
          <w:sz w:val="18"/>
          <w:szCs w:val="18"/>
          <w:shd w:val="clear" w:color="auto" w:fill="FFFFFF"/>
        </w:rPr>
        <w:t>HBe</w:t>
      </w:r>
      <w:proofErr w:type="spellEnd"/>
      <w:r w:rsidRPr="00B1613A">
        <w:rPr>
          <w:rFonts w:ascii="Arial" w:eastAsia="Times New Roman" w:hAnsi="Arial" w:cs="Arial"/>
          <w:color w:val="000000"/>
          <w:sz w:val="18"/>
          <w:szCs w:val="18"/>
          <w:shd w:val="clear" w:color="auto" w:fill="FFFFFF"/>
        </w:rPr>
        <w:t>.</w:t>
      </w:r>
    </w:p>
    <w:p w:rsidR="008F13E8" w:rsidRPr="004B1D4C" w:rsidRDefault="008F13E8" w:rsidP="008F13E8">
      <w:pPr>
        <w:pStyle w:val="ListParagraph"/>
        <w:numPr>
          <w:ilvl w:val="0"/>
          <w:numId w:val="9"/>
        </w:numPr>
        <w:spacing w:after="0" w:line="240" w:lineRule="auto"/>
        <w:rPr>
          <w:rFonts w:ascii="Arial" w:eastAsia="Times New Roman" w:hAnsi="Arial" w:cs="Arial"/>
          <w:sz w:val="18"/>
          <w:szCs w:val="18"/>
        </w:rPr>
      </w:pPr>
      <w:r w:rsidRPr="004B1D4C">
        <w:rPr>
          <w:rFonts w:ascii="Arial" w:eastAsia="Times New Roman" w:hAnsi="Arial" w:cs="Arial"/>
          <w:sz w:val="18"/>
          <w:szCs w:val="18"/>
        </w:rPr>
        <w:t xml:space="preserve">Inactive </w:t>
      </w:r>
      <w:proofErr w:type="spellStart"/>
      <w:r w:rsidRPr="004B1D4C">
        <w:rPr>
          <w:rFonts w:ascii="Arial" w:eastAsia="Times New Roman" w:hAnsi="Arial" w:cs="Arial"/>
          <w:sz w:val="18"/>
          <w:szCs w:val="18"/>
        </w:rPr>
        <w:t>HBsAg</w:t>
      </w:r>
      <w:proofErr w:type="spellEnd"/>
      <w:r w:rsidRPr="004B1D4C">
        <w:rPr>
          <w:rFonts w:ascii="Arial" w:eastAsia="Times New Roman" w:hAnsi="Arial" w:cs="Arial"/>
          <w:sz w:val="18"/>
          <w:szCs w:val="18"/>
        </w:rPr>
        <w:t xml:space="preserve"> carrier - </w:t>
      </w:r>
      <w:r w:rsidRPr="00B1613A">
        <w:rPr>
          <w:rFonts w:ascii="Arial" w:eastAsia="Times New Roman" w:hAnsi="Arial" w:cs="Arial"/>
          <w:color w:val="000000"/>
          <w:sz w:val="18"/>
          <w:szCs w:val="18"/>
          <w:shd w:val="clear" w:color="auto" w:fill="FFFFFF"/>
        </w:rPr>
        <w:t xml:space="preserve">Persistent HBV infection of the liver without significant, ongoing </w:t>
      </w:r>
      <w:proofErr w:type="spellStart"/>
      <w:r w:rsidRPr="004B1D4C">
        <w:rPr>
          <w:rFonts w:ascii="Arial" w:eastAsia="Times New Roman" w:hAnsi="Arial" w:cs="Arial"/>
          <w:color w:val="000000"/>
          <w:sz w:val="18"/>
          <w:szCs w:val="18"/>
          <w:shd w:val="clear" w:color="auto" w:fill="FFFFFF"/>
        </w:rPr>
        <w:t>n</w:t>
      </w:r>
      <w:r w:rsidRPr="00B1613A">
        <w:rPr>
          <w:rFonts w:ascii="Arial" w:eastAsia="Times New Roman" w:hAnsi="Arial" w:cs="Arial"/>
          <w:color w:val="000000"/>
          <w:sz w:val="18"/>
          <w:szCs w:val="18"/>
          <w:shd w:val="clear" w:color="auto" w:fill="FFFFFF"/>
        </w:rPr>
        <w:t>ecroinflammatory</w:t>
      </w:r>
      <w:proofErr w:type="spellEnd"/>
      <w:r w:rsidRPr="00B1613A">
        <w:rPr>
          <w:rFonts w:ascii="Arial" w:eastAsia="Times New Roman" w:hAnsi="Arial" w:cs="Arial"/>
          <w:color w:val="000000"/>
          <w:sz w:val="18"/>
          <w:szCs w:val="18"/>
          <w:shd w:val="clear" w:color="auto" w:fill="FFFFFF"/>
        </w:rPr>
        <w:t xml:space="preserve"> disease</w:t>
      </w:r>
      <w:r w:rsidR="00D94F33">
        <w:rPr>
          <w:rFonts w:ascii="Arial" w:eastAsia="Times New Roman" w:hAnsi="Arial" w:cs="Arial"/>
          <w:color w:val="000000"/>
          <w:sz w:val="18"/>
          <w:szCs w:val="18"/>
          <w:shd w:val="clear" w:color="auto" w:fill="FFFFFF"/>
        </w:rPr>
        <w:t xml:space="preserve"> - Requires 3+ ALT levels and 2-3 HBV DNA levels over 12 </w:t>
      </w:r>
      <w:proofErr w:type="spellStart"/>
      <w:r w:rsidR="00D94F33">
        <w:rPr>
          <w:rFonts w:ascii="Arial" w:eastAsia="Times New Roman" w:hAnsi="Arial" w:cs="Arial"/>
          <w:color w:val="000000"/>
          <w:sz w:val="18"/>
          <w:szCs w:val="18"/>
          <w:shd w:val="clear" w:color="auto" w:fill="FFFFFF"/>
        </w:rPr>
        <w:t>mos</w:t>
      </w:r>
      <w:proofErr w:type="spellEnd"/>
      <w:r w:rsidR="00D94F33">
        <w:rPr>
          <w:rFonts w:ascii="Arial" w:eastAsia="Times New Roman" w:hAnsi="Arial" w:cs="Arial"/>
          <w:color w:val="000000"/>
          <w:sz w:val="18"/>
          <w:szCs w:val="18"/>
          <w:shd w:val="clear" w:color="auto" w:fill="FFFFFF"/>
        </w:rPr>
        <w:t xml:space="preserve"> of observation.</w:t>
      </w:r>
    </w:p>
    <w:p w:rsidR="008F13E8" w:rsidRPr="004B1D4C" w:rsidRDefault="008F13E8" w:rsidP="008F13E8">
      <w:pPr>
        <w:pStyle w:val="ListParagraph"/>
        <w:numPr>
          <w:ilvl w:val="0"/>
          <w:numId w:val="9"/>
        </w:numPr>
        <w:spacing w:after="0" w:line="240" w:lineRule="auto"/>
        <w:rPr>
          <w:rFonts w:ascii="Arial" w:eastAsia="Times New Roman" w:hAnsi="Arial" w:cs="Arial"/>
          <w:sz w:val="18"/>
          <w:szCs w:val="18"/>
        </w:rPr>
      </w:pPr>
      <w:r w:rsidRPr="004B1D4C">
        <w:rPr>
          <w:rFonts w:ascii="Arial" w:eastAsia="Times New Roman" w:hAnsi="Arial" w:cs="Arial"/>
          <w:sz w:val="18"/>
          <w:szCs w:val="18"/>
        </w:rPr>
        <w:t xml:space="preserve">Reactivation - </w:t>
      </w:r>
      <w:r w:rsidRPr="00B1613A">
        <w:rPr>
          <w:rFonts w:ascii="Arial" w:eastAsia="Times New Roman" w:hAnsi="Arial" w:cs="Arial"/>
          <w:color w:val="000000"/>
          <w:sz w:val="18"/>
          <w:szCs w:val="18"/>
          <w:shd w:val="clear" w:color="auto" w:fill="FFFFFF"/>
        </w:rPr>
        <w:t xml:space="preserve">Reappearance of active </w:t>
      </w:r>
      <w:proofErr w:type="spellStart"/>
      <w:r w:rsidRPr="00B1613A">
        <w:rPr>
          <w:rFonts w:ascii="Arial" w:eastAsia="Times New Roman" w:hAnsi="Arial" w:cs="Arial"/>
          <w:color w:val="000000"/>
          <w:sz w:val="18"/>
          <w:szCs w:val="18"/>
          <w:shd w:val="clear" w:color="auto" w:fill="FFFFFF"/>
        </w:rPr>
        <w:t>necroinflammatory</w:t>
      </w:r>
      <w:proofErr w:type="spellEnd"/>
      <w:r w:rsidRPr="00B1613A">
        <w:rPr>
          <w:rFonts w:ascii="Arial" w:eastAsia="Times New Roman" w:hAnsi="Arial" w:cs="Arial"/>
          <w:color w:val="000000"/>
          <w:sz w:val="18"/>
          <w:szCs w:val="18"/>
          <w:shd w:val="clear" w:color="auto" w:fill="FFFFFF"/>
        </w:rPr>
        <w:t xml:space="preserve"> disease of the liver in a person known to have the inactive </w:t>
      </w:r>
      <w:proofErr w:type="spellStart"/>
      <w:r w:rsidRPr="00B1613A">
        <w:rPr>
          <w:rFonts w:ascii="Arial" w:eastAsia="Times New Roman" w:hAnsi="Arial" w:cs="Arial"/>
          <w:color w:val="000000"/>
          <w:sz w:val="18"/>
          <w:szCs w:val="18"/>
          <w:shd w:val="clear" w:color="auto" w:fill="FFFFFF"/>
        </w:rPr>
        <w:t>HBsAg</w:t>
      </w:r>
      <w:proofErr w:type="spellEnd"/>
      <w:r w:rsidRPr="00B1613A">
        <w:rPr>
          <w:rFonts w:ascii="Arial" w:eastAsia="Times New Roman" w:hAnsi="Arial" w:cs="Arial"/>
          <w:color w:val="000000"/>
          <w:sz w:val="18"/>
          <w:szCs w:val="18"/>
          <w:shd w:val="clear" w:color="auto" w:fill="FFFFFF"/>
        </w:rPr>
        <w:t xml:space="preserve"> carrier state or resolved hepatitis B.</w:t>
      </w:r>
    </w:p>
    <w:p w:rsidR="00D85B7C" w:rsidRPr="004B1D4C" w:rsidRDefault="00D85B7C" w:rsidP="00D85B7C">
      <w:pPr>
        <w:pStyle w:val="ListParagraph"/>
        <w:spacing w:after="0" w:line="240" w:lineRule="auto"/>
        <w:rPr>
          <w:rFonts w:ascii="Arial" w:eastAsia="Times New Roman" w:hAnsi="Arial" w:cs="Arial"/>
          <w:sz w:val="18"/>
          <w:szCs w:val="18"/>
        </w:rPr>
      </w:pPr>
    </w:p>
    <w:p w:rsidR="004B1D4C" w:rsidRPr="004B1D4C" w:rsidRDefault="00D85B7C" w:rsidP="008F13E8">
      <w:pPr>
        <w:spacing w:after="0" w:line="240" w:lineRule="auto"/>
        <w:rPr>
          <w:rFonts w:ascii="Arial" w:eastAsia="Times New Roman" w:hAnsi="Arial" w:cs="Arial"/>
          <w:b/>
          <w:color w:val="000000"/>
          <w:sz w:val="18"/>
          <w:szCs w:val="18"/>
          <w:shd w:val="clear" w:color="auto" w:fill="FFFFFF"/>
        </w:rPr>
      </w:pPr>
      <w:r w:rsidRPr="004B1D4C">
        <w:rPr>
          <w:rFonts w:ascii="Arial" w:eastAsia="Times New Roman" w:hAnsi="Arial" w:cs="Arial"/>
          <w:b/>
          <w:color w:val="000000"/>
          <w:sz w:val="18"/>
          <w:szCs w:val="18"/>
          <w:shd w:val="clear" w:color="auto" w:fill="FFFFFF"/>
        </w:rPr>
        <w:t xml:space="preserve">References: </w:t>
      </w:r>
    </w:p>
    <w:p w:rsidR="004B1D4C" w:rsidRDefault="004B1D4C" w:rsidP="00D85B7C">
      <w:pPr>
        <w:pStyle w:val="ListParagraph"/>
        <w:numPr>
          <w:ilvl w:val="0"/>
          <w:numId w:val="9"/>
        </w:numPr>
        <w:spacing w:after="0" w:line="240" w:lineRule="auto"/>
        <w:rPr>
          <w:rFonts w:ascii="Arial" w:eastAsia="Times New Roman" w:hAnsi="Arial" w:cs="Arial"/>
          <w:sz w:val="18"/>
          <w:szCs w:val="18"/>
        </w:rPr>
      </w:pPr>
      <w:r>
        <w:rPr>
          <w:rFonts w:ascii="Arial" w:eastAsia="Times New Roman" w:hAnsi="Arial" w:cs="Arial"/>
          <w:sz w:val="18"/>
          <w:szCs w:val="18"/>
        </w:rPr>
        <w:t>Dr. Daniel Lee.</w:t>
      </w:r>
    </w:p>
    <w:p w:rsidR="008F13E8" w:rsidRPr="004B1D4C" w:rsidRDefault="008F13E8" w:rsidP="00D85B7C">
      <w:pPr>
        <w:pStyle w:val="ListParagraph"/>
        <w:numPr>
          <w:ilvl w:val="0"/>
          <w:numId w:val="9"/>
        </w:numPr>
        <w:spacing w:after="0" w:line="240" w:lineRule="auto"/>
        <w:rPr>
          <w:rFonts w:ascii="Arial" w:eastAsia="Times New Roman" w:hAnsi="Arial" w:cs="Arial"/>
          <w:sz w:val="18"/>
          <w:szCs w:val="18"/>
        </w:rPr>
      </w:pPr>
      <w:proofErr w:type="spellStart"/>
      <w:r w:rsidRPr="004B1D4C">
        <w:rPr>
          <w:rFonts w:ascii="Arial" w:eastAsia="Times New Roman" w:hAnsi="Arial" w:cs="Arial"/>
          <w:sz w:val="18"/>
          <w:szCs w:val="18"/>
        </w:rPr>
        <w:t>Lok</w:t>
      </w:r>
      <w:proofErr w:type="spellEnd"/>
      <w:r w:rsidRPr="004B1D4C">
        <w:rPr>
          <w:rFonts w:ascii="Arial" w:eastAsia="Times New Roman" w:hAnsi="Arial" w:cs="Arial"/>
          <w:sz w:val="18"/>
          <w:szCs w:val="18"/>
        </w:rPr>
        <w:t>, A.S.F. and McMahon, B.J</w:t>
      </w:r>
      <w:r w:rsidR="004B1D4C" w:rsidRPr="004B1D4C">
        <w:rPr>
          <w:rFonts w:ascii="Arial" w:eastAsia="Times New Roman" w:hAnsi="Arial" w:cs="Arial"/>
          <w:sz w:val="18"/>
          <w:szCs w:val="18"/>
        </w:rPr>
        <w:t>.</w:t>
      </w:r>
      <w:r w:rsidRPr="004B1D4C">
        <w:rPr>
          <w:rFonts w:ascii="Arial" w:eastAsia="Times New Roman" w:hAnsi="Arial" w:cs="Arial"/>
          <w:sz w:val="18"/>
          <w:szCs w:val="18"/>
        </w:rPr>
        <w:t xml:space="preserve">, 2009 Practice Guideline Update – Chronic Hepatitis B </w:t>
      </w:r>
      <w:hyperlink r:id="rId6" w:history="1">
        <w:r w:rsidR="004B1D4C" w:rsidRPr="004B1D4C">
          <w:rPr>
            <w:rStyle w:val="Hyperlink"/>
            <w:rFonts w:ascii="Arial" w:eastAsia="Times New Roman" w:hAnsi="Arial" w:cs="Arial"/>
            <w:sz w:val="18"/>
            <w:szCs w:val="18"/>
          </w:rPr>
          <w:t>http://www.aasld.org/practiceguidelines/Documents/Bookmarked%20Practice%20Guidelines/Chronic_Hep_B_Update_2009%208_24_2009.pdf</w:t>
        </w:r>
      </w:hyperlink>
      <w:r w:rsidR="004B1D4C">
        <w:rPr>
          <w:rFonts w:ascii="Arial" w:eastAsia="Times New Roman" w:hAnsi="Arial" w:cs="Arial"/>
          <w:sz w:val="18"/>
          <w:szCs w:val="18"/>
        </w:rPr>
        <w:t>.</w:t>
      </w:r>
    </w:p>
    <w:p w:rsidR="004B1D4C" w:rsidRPr="004B1D4C" w:rsidRDefault="004B1D4C" w:rsidP="004B1D4C">
      <w:pPr>
        <w:pStyle w:val="ListParagraph"/>
        <w:numPr>
          <w:ilvl w:val="0"/>
          <w:numId w:val="9"/>
        </w:numPr>
        <w:spacing w:after="0" w:line="240" w:lineRule="auto"/>
        <w:rPr>
          <w:rFonts w:ascii="Arial" w:eastAsia="Times New Roman" w:hAnsi="Arial" w:cs="Arial"/>
          <w:sz w:val="18"/>
          <w:szCs w:val="18"/>
        </w:rPr>
      </w:pPr>
      <w:proofErr w:type="spellStart"/>
      <w:r w:rsidRPr="004B1D4C">
        <w:rPr>
          <w:rFonts w:ascii="Arial" w:eastAsia="Times New Roman" w:hAnsi="Arial" w:cs="Arial"/>
          <w:sz w:val="18"/>
          <w:szCs w:val="18"/>
        </w:rPr>
        <w:t>Bruix</w:t>
      </w:r>
      <w:proofErr w:type="spellEnd"/>
      <w:r w:rsidRPr="004B1D4C">
        <w:rPr>
          <w:rFonts w:ascii="Arial" w:eastAsia="Times New Roman" w:hAnsi="Arial" w:cs="Arial"/>
          <w:sz w:val="18"/>
          <w:szCs w:val="18"/>
        </w:rPr>
        <w:t xml:space="preserve">, J. and Sherman, M., 2010 Practice Guideline Update – Management of </w:t>
      </w:r>
      <w:proofErr w:type="spellStart"/>
      <w:r w:rsidRPr="004B1D4C">
        <w:rPr>
          <w:rFonts w:ascii="Arial" w:eastAsia="Times New Roman" w:hAnsi="Arial" w:cs="Arial"/>
          <w:sz w:val="18"/>
          <w:szCs w:val="18"/>
        </w:rPr>
        <w:t>Hepatocellular</w:t>
      </w:r>
      <w:proofErr w:type="spellEnd"/>
      <w:r w:rsidRPr="004B1D4C">
        <w:rPr>
          <w:rFonts w:ascii="Arial" w:eastAsia="Times New Roman" w:hAnsi="Arial" w:cs="Arial"/>
          <w:sz w:val="18"/>
          <w:szCs w:val="18"/>
        </w:rPr>
        <w:t xml:space="preserve"> Carcinoma.</w:t>
      </w:r>
    </w:p>
    <w:p w:rsidR="004B1D4C" w:rsidRPr="004B1D4C" w:rsidRDefault="004B1D4C" w:rsidP="004B1D4C">
      <w:pPr>
        <w:pStyle w:val="ListParagraph"/>
        <w:spacing w:after="0" w:line="240" w:lineRule="auto"/>
        <w:rPr>
          <w:rFonts w:ascii="Arial" w:eastAsia="Times New Roman" w:hAnsi="Arial" w:cs="Arial"/>
          <w:sz w:val="18"/>
          <w:szCs w:val="18"/>
        </w:rPr>
      </w:pPr>
      <w:hyperlink r:id="rId7" w:history="1">
        <w:r w:rsidRPr="004B1D4C">
          <w:rPr>
            <w:rStyle w:val="Hyperlink"/>
            <w:rFonts w:ascii="Arial" w:eastAsia="Times New Roman" w:hAnsi="Arial" w:cs="Arial"/>
            <w:sz w:val="18"/>
            <w:szCs w:val="18"/>
          </w:rPr>
          <w:t>http://www.aasld.org/practiceguidelines/Documents/Bookmarked%20Practice%20Guidelines/HCCUpdate2010.pdf</w:t>
        </w:r>
      </w:hyperlink>
      <w:r>
        <w:rPr>
          <w:rFonts w:ascii="Arial" w:eastAsia="Times New Roman" w:hAnsi="Arial" w:cs="Arial"/>
          <w:sz w:val="18"/>
          <w:szCs w:val="18"/>
        </w:rPr>
        <w:t>.</w:t>
      </w:r>
    </w:p>
    <w:p w:rsidR="004B1D4C" w:rsidRPr="004B1D4C" w:rsidRDefault="00D94F33" w:rsidP="004B1D4C">
      <w:pPr>
        <w:pStyle w:val="ListParagraph"/>
        <w:numPr>
          <w:ilvl w:val="0"/>
          <w:numId w:val="9"/>
        </w:numPr>
        <w:spacing w:after="0" w:line="240" w:lineRule="auto"/>
        <w:rPr>
          <w:rFonts w:ascii="Arial" w:eastAsia="Times New Roman" w:hAnsi="Arial" w:cs="Arial"/>
          <w:sz w:val="18"/>
          <w:szCs w:val="18"/>
        </w:rPr>
      </w:pPr>
      <w:r>
        <w:rPr>
          <w:rFonts w:ascii="Arial" w:eastAsia="Times New Roman" w:hAnsi="Arial" w:cs="Arial"/>
          <w:sz w:val="18"/>
          <w:szCs w:val="18"/>
        </w:rPr>
        <w:t xml:space="preserve">“Clinical manifestations and natural history of Hepatitis B virus infection”, </w:t>
      </w:r>
      <w:r w:rsidR="004B1D4C" w:rsidRPr="004B1D4C">
        <w:rPr>
          <w:rFonts w:ascii="Arial" w:eastAsia="Times New Roman" w:hAnsi="Arial" w:cs="Arial"/>
          <w:sz w:val="18"/>
          <w:szCs w:val="18"/>
        </w:rPr>
        <w:t>“Diagnosis of Hepatitis B infection”, “Overview of the management of hepatitis B and case examples”, “</w:t>
      </w:r>
      <w:r w:rsidR="004B1D4C" w:rsidRPr="004B1D4C">
        <w:rPr>
          <w:rFonts w:ascii="Arial" w:hAnsi="Arial" w:cs="Arial"/>
          <w:bCs/>
          <w:color w:val="333333"/>
          <w:sz w:val="18"/>
          <w:szCs w:val="18"/>
        </w:rPr>
        <w:t xml:space="preserve">Prevention of </w:t>
      </w:r>
      <w:proofErr w:type="spellStart"/>
      <w:r w:rsidR="004B1D4C" w:rsidRPr="004B1D4C">
        <w:rPr>
          <w:rFonts w:ascii="Arial" w:hAnsi="Arial" w:cs="Arial"/>
          <w:bCs/>
          <w:color w:val="333333"/>
          <w:sz w:val="18"/>
          <w:szCs w:val="18"/>
        </w:rPr>
        <w:t>hepatocellular</w:t>
      </w:r>
      <w:proofErr w:type="spellEnd"/>
      <w:r w:rsidR="004B1D4C" w:rsidRPr="004B1D4C">
        <w:rPr>
          <w:rFonts w:ascii="Arial" w:hAnsi="Arial" w:cs="Arial"/>
          <w:bCs/>
          <w:color w:val="333333"/>
          <w:sz w:val="18"/>
          <w:szCs w:val="18"/>
        </w:rPr>
        <w:t xml:space="preserve"> carcinoma and recommendations for surveillance in adults with chronic liver disease”, </w:t>
      </w:r>
      <w:proofErr w:type="spellStart"/>
      <w:r w:rsidR="004B1D4C" w:rsidRPr="004B1D4C">
        <w:rPr>
          <w:rFonts w:ascii="Arial" w:eastAsia="Times New Roman" w:hAnsi="Arial" w:cs="Arial"/>
          <w:sz w:val="18"/>
          <w:szCs w:val="18"/>
        </w:rPr>
        <w:t>UpToDate</w:t>
      </w:r>
      <w:proofErr w:type="spellEnd"/>
      <w:r w:rsidR="004B1D4C" w:rsidRPr="004B1D4C">
        <w:rPr>
          <w:rFonts w:ascii="Arial" w:eastAsia="Times New Roman" w:hAnsi="Arial" w:cs="Arial"/>
          <w:sz w:val="18"/>
          <w:szCs w:val="18"/>
        </w:rPr>
        <w:t xml:space="preserve">, printed 11/17/14. </w:t>
      </w:r>
    </w:p>
    <w:p w:rsidR="004B1D4C" w:rsidRDefault="004B1D4C" w:rsidP="004B1D4C">
      <w:pPr>
        <w:pStyle w:val="ListParagraph"/>
        <w:spacing w:after="0" w:line="240" w:lineRule="auto"/>
        <w:rPr>
          <w:rFonts w:ascii="Times New Roman" w:eastAsia="Times New Roman" w:hAnsi="Times New Roman" w:cs="Times New Roman"/>
          <w:sz w:val="24"/>
          <w:szCs w:val="24"/>
        </w:rPr>
      </w:pPr>
    </w:p>
    <w:p w:rsidR="004B1D4C" w:rsidRPr="004B1D4C" w:rsidRDefault="004B1D4C" w:rsidP="004B1D4C">
      <w:pPr>
        <w:spacing w:after="0" w:line="240" w:lineRule="auto"/>
        <w:rPr>
          <w:rFonts w:ascii="Times New Roman" w:eastAsia="Times New Roman" w:hAnsi="Times New Roman" w:cs="Times New Roman"/>
          <w:sz w:val="24"/>
          <w:szCs w:val="24"/>
        </w:rPr>
      </w:pPr>
    </w:p>
    <w:p w:rsidR="00D85B7C" w:rsidRDefault="00D85B7C" w:rsidP="00D85B7C">
      <w:pPr>
        <w:spacing w:after="0" w:line="240" w:lineRule="auto"/>
        <w:rPr>
          <w:rFonts w:ascii="Times New Roman" w:eastAsia="Times New Roman" w:hAnsi="Times New Roman" w:cs="Times New Roman"/>
          <w:sz w:val="24"/>
          <w:szCs w:val="24"/>
        </w:rPr>
      </w:pPr>
    </w:p>
    <w:p w:rsidR="00D85B7C" w:rsidRPr="00D85B7C" w:rsidRDefault="00D85B7C" w:rsidP="00D85B7C">
      <w:pPr>
        <w:spacing w:after="0" w:line="240" w:lineRule="auto"/>
        <w:rPr>
          <w:rFonts w:ascii="Times New Roman" w:eastAsia="Times New Roman" w:hAnsi="Times New Roman" w:cs="Times New Roman"/>
          <w:sz w:val="24"/>
          <w:szCs w:val="24"/>
        </w:rPr>
      </w:pPr>
    </w:p>
    <w:p w:rsidR="00B1613A" w:rsidRDefault="00B1613A" w:rsidP="00B1613A"/>
    <w:sectPr w:rsidR="00B161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23AD0"/>
    <w:multiLevelType w:val="hybridMultilevel"/>
    <w:tmpl w:val="67968528"/>
    <w:lvl w:ilvl="0" w:tplc="3A7ADF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25CE4"/>
    <w:multiLevelType w:val="hybridMultilevel"/>
    <w:tmpl w:val="C80613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197FFE"/>
    <w:multiLevelType w:val="multilevel"/>
    <w:tmpl w:val="1EECC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C9410A"/>
    <w:multiLevelType w:val="hybridMultilevel"/>
    <w:tmpl w:val="CEC4BB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1390A"/>
    <w:multiLevelType w:val="hybridMultilevel"/>
    <w:tmpl w:val="D83C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4D6DB2"/>
    <w:multiLevelType w:val="multilevel"/>
    <w:tmpl w:val="0380A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AD009D"/>
    <w:multiLevelType w:val="multilevel"/>
    <w:tmpl w:val="5D7CC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EE19FB"/>
    <w:multiLevelType w:val="multilevel"/>
    <w:tmpl w:val="914C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AB36E5"/>
    <w:multiLevelType w:val="hybridMultilevel"/>
    <w:tmpl w:val="475A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CB262B"/>
    <w:multiLevelType w:val="hybridMultilevel"/>
    <w:tmpl w:val="DF0EB27C"/>
    <w:lvl w:ilvl="0" w:tplc="3A7ADFEE">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8D50670"/>
    <w:multiLevelType w:val="hybridMultilevel"/>
    <w:tmpl w:val="04FE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B553A5"/>
    <w:multiLevelType w:val="hybridMultilevel"/>
    <w:tmpl w:val="093CB9D6"/>
    <w:lvl w:ilvl="0" w:tplc="29FC2E8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2B15D1"/>
    <w:multiLevelType w:val="hybridMultilevel"/>
    <w:tmpl w:val="61E4DA78"/>
    <w:lvl w:ilvl="0" w:tplc="3A7ADF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CF06BD"/>
    <w:multiLevelType w:val="multilevel"/>
    <w:tmpl w:val="72C42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2"/>
    <w:lvlOverride w:ilvl="1">
      <w:lvl w:ilvl="1">
        <w:numFmt w:val="bullet"/>
        <w:lvlText w:val=""/>
        <w:lvlJc w:val="left"/>
        <w:pPr>
          <w:tabs>
            <w:tab w:val="num" w:pos="1440"/>
          </w:tabs>
          <w:ind w:left="1440" w:hanging="360"/>
        </w:pPr>
        <w:rPr>
          <w:rFonts w:ascii="Symbol" w:hAnsi="Symbol" w:hint="default"/>
          <w:sz w:val="20"/>
        </w:rPr>
      </w:lvl>
    </w:lvlOverride>
  </w:num>
  <w:num w:numId="4">
    <w:abstractNumId w:val="2"/>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
    <w:abstractNumId w:val="13"/>
  </w:num>
  <w:num w:numId="6">
    <w:abstractNumId w:val="6"/>
  </w:num>
  <w:num w:numId="7">
    <w:abstractNumId w:val="5"/>
  </w:num>
  <w:num w:numId="8">
    <w:abstractNumId w:val="4"/>
  </w:num>
  <w:num w:numId="9">
    <w:abstractNumId w:val="3"/>
  </w:num>
  <w:num w:numId="10">
    <w:abstractNumId w:val="11"/>
  </w:num>
  <w:num w:numId="11">
    <w:abstractNumId w:val="0"/>
  </w:num>
  <w:num w:numId="12">
    <w:abstractNumId w:val="9"/>
  </w:num>
  <w:num w:numId="13">
    <w:abstractNumId w:val="12"/>
  </w:num>
  <w:num w:numId="14">
    <w:abstractNumId w:val="1"/>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613A"/>
    <w:rsid w:val="004B1D4C"/>
    <w:rsid w:val="00614F9E"/>
    <w:rsid w:val="0065121D"/>
    <w:rsid w:val="007553E1"/>
    <w:rsid w:val="007F189F"/>
    <w:rsid w:val="008F13E8"/>
    <w:rsid w:val="008F186D"/>
    <w:rsid w:val="00B1613A"/>
    <w:rsid w:val="00D85B7C"/>
    <w:rsid w:val="00D94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61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1613A"/>
    <w:rPr>
      <w:color w:val="0000FF"/>
      <w:u w:val="single"/>
    </w:rPr>
  </w:style>
  <w:style w:type="paragraph" w:styleId="ListParagraph">
    <w:name w:val="List Paragraph"/>
    <w:basedOn w:val="Normal"/>
    <w:uiPriority w:val="34"/>
    <w:qFormat/>
    <w:rsid w:val="00B1613A"/>
    <w:pPr>
      <w:ind w:left="720"/>
      <w:contextualSpacing/>
    </w:pPr>
  </w:style>
</w:styles>
</file>

<file path=word/webSettings.xml><?xml version="1.0" encoding="utf-8"?>
<w:webSettings xmlns:r="http://schemas.openxmlformats.org/officeDocument/2006/relationships" xmlns:w="http://schemas.openxmlformats.org/wordprocessingml/2006/main">
  <w:divs>
    <w:div w:id="274097710">
      <w:bodyDiv w:val="1"/>
      <w:marLeft w:val="0"/>
      <w:marRight w:val="0"/>
      <w:marTop w:val="0"/>
      <w:marBottom w:val="0"/>
      <w:divBdr>
        <w:top w:val="none" w:sz="0" w:space="0" w:color="auto"/>
        <w:left w:val="none" w:sz="0" w:space="0" w:color="auto"/>
        <w:bottom w:val="none" w:sz="0" w:space="0" w:color="auto"/>
        <w:right w:val="none" w:sz="0" w:space="0" w:color="auto"/>
      </w:divBdr>
      <w:divsChild>
        <w:div w:id="979530508">
          <w:marLeft w:val="0"/>
          <w:marRight w:val="0"/>
          <w:marTop w:val="0"/>
          <w:marBottom w:val="0"/>
          <w:divBdr>
            <w:top w:val="none" w:sz="0" w:space="0" w:color="auto"/>
            <w:left w:val="none" w:sz="0" w:space="0" w:color="auto"/>
            <w:bottom w:val="none" w:sz="0" w:space="0" w:color="auto"/>
            <w:right w:val="none" w:sz="0" w:space="0" w:color="auto"/>
          </w:divBdr>
        </w:div>
      </w:divsChild>
    </w:div>
    <w:div w:id="1202475858">
      <w:bodyDiv w:val="1"/>
      <w:marLeft w:val="0"/>
      <w:marRight w:val="0"/>
      <w:marTop w:val="0"/>
      <w:marBottom w:val="0"/>
      <w:divBdr>
        <w:top w:val="none" w:sz="0" w:space="0" w:color="auto"/>
        <w:left w:val="none" w:sz="0" w:space="0" w:color="auto"/>
        <w:bottom w:val="none" w:sz="0" w:space="0" w:color="auto"/>
        <w:right w:val="none" w:sz="0" w:space="0" w:color="auto"/>
      </w:divBdr>
      <w:divsChild>
        <w:div w:id="98834622">
          <w:marLeft w:val="0"/>
          <w:marRight w:val="0"/>
          <w:marTop w:val="0"/>
          <w:marBottom w:val="0"/>
          <w:divBdr>
            <w:top w:val="none" w:sz="0" w:space="0" w:color="auto"/>
            <w:left w:val="none" w:sz="0" w:space="0" w:color="auto"/>
            <w:bottom w:val="none" w:sz="0" w:space="0" w:color="auto"/>
            <w:right w:val="none" w:sz="0" w:space="0" w:color="auto"/>
          </w:divBdr>
          <w:divsChild>
            <w:div w:id="958953988">
              <w:marLeft w:val="0"/>
              <w:marRight w:val="0"/>
              <w:marTop w:val="0"/>
              <w:marBottom w:val="0"/>
              <w:divBdr>
                <w:top w:val="none" w:sz="0" w:space="0" w:color="auto"/>
                <w:left w:val="none" w:sz="0" w:space="0" w:color="auto"/>
                <w:bottom w:val="none" w:sz="0" w:space="0" w:color="auto"/>
                <w:right w:val="none" w:sz="0" w:space="0" w:color="auto"/>
              </w:divBdr>
              <w:divsChild>
                <w:div w:id="125859149">
                  <w:marLeft w:val="0"/>
                  <w:marRight w:val="0"/>
                  <w:marTop w:val="0"/>
                  <w:marBottom w:val="0"/>
                  <w:divBdr>
                    <w:top w:val="none" w:sz="0" w:space="0" w:color="auto"/>
                    <w:left w:val="none" w:sz="0" w:space="0" w:color="auto"/>
                    <w:bottom w:val="none" w:sz="0" w:space="0" w:color="auto"/>
                    <w:right w:val="none" w:sz="0" w:space="0" w:color="auto"/>
                  </w:divBdr>
                  <w:divsChild>
                    <w:div w:id="164826153">
                      <w:marLeft w:val="0"/>
                      <w:marRight w:val="0"/>
                      <w:marTop w:val="0"/>
                      <w:marBottom w:val="0"/>
                      <w:divBdr>
                        <w:top w:val="none" w:sz="0" w:space="0" w:color="auto"/>
                        <w:left w:val="none" w:sz="0" w:space="0" w:color="auto"/>
                        <w:bottom w:val="none" w:sz="0" w:space="0" w:color="auto"/>
                        <w:right w:val="none" w:sz="0" w:space="0" w:color="auto"/>
                      </w:divBdr>
                      <w:divsChild>
                        <w:div w:id="100455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420587">
      <w:bodyDiv w:val="1"/>
      <w:marLeft w:val="0"/>
      <w:marRight w:val="0"/>
      <w:marTop w:val="0"/>
      <w:marBottom w:val="0"/>
      <w:divBdr>
        <w:top w:val="none" w:sz="0" w:space="0" w:color="auto"/>
        <w:left w:val="none" w:sz="0" w:space="0" w:color="auto"/>
        <w:bottom w:val="none" w:sz="0" w:space="0" w:color="auto"/>
        <w:right w:val="none" w:sz="0" w:space="0" w:color="auto"/>
      </w:divBdr>
      <w:divsChild>
        <w:div w:id="823550091">
          <w:marLeft w:val="0"/>
          <w:marRight w:val="0"/>
          <w:marTop w:val="0"/>
          <w:marBottom w:val="0"/>
          <w:divBdr>
            <w:top w:val="none" w:sz="0" w:space="0" w:color="auto"/>
            <w:left w:val="none" w:sz="0" w:space="0" w:color="auto"/>
            <w:bottom w:val="none" w:sz="0" w:space="0" w:color="auto"/>
            <w:right w:val="none" w:sz="0" w:space="0" w:color="auto"/>
          </w:divBdr>
          <w:divsChild>
            <w:div w:id="1963538924">
              <w:marLeft w:val="4650"/>
              <w:marRight w:val="900"/>
              <w:marTop w:val="450"/>
              <w:marBottom w:val="450"/>
              <w:divBdr>
                <w:top w:val="none" w:sz="0" w:space="0" w:color="auto"/>
                <w:left w:val="none" w:sz="0" w:space="0" w:color="auto"/>
                <w:bottom w:val="none" w:sz="0" w:space="0" w:color="auto"/>
                <w:right w:val="none" w:sz="0" w:space="0" w:color="auto"/>
              </w:divBdr>
              <w:divsChild>
                <w:div w:id="425003172">
                  <w:marLeft w:val="0"/>
                  <w:marRight w:val="0"/>
                  <w:marTop w:val="0"/>
                  <w:marBottom w:val="0"/>
                  <w:divBdr>
                    <w:top w:val="none" w:sz="0" w:space="0" w:color="auto"/>
                    <w:left w:val="none" w:sz="0" w:space="0" w:color="auto"/>
                    <w:bottom w:val="none" w:sz="0" w:space="0" w:color="auto"/>
                    <w:right w:val="none" w:sz="0" w:space="0" w:color="auto"/>
                  </w:divBdr>
                  <w:divsChild>
                    <w:div w:id="12437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asld.org/practiceguidelines/Documents/Bookmarked%20Practice%20Guidelines/HCCUpdate2010.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asld.org/practiceguidelines/Documents/Bookmarked%20Practice%20Guidelines/Chronic_Hep_B_Update_2009%208_24_2009.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BF71C-DFD3-48CB-8068-0CA513910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879</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mpirnia</dc:creator>
  <cp:lastModifiedBy>mpirnia</cp:lastModifiedBy>
  <cp:revision>3</cp:revision>
  <cp:lastPrinted>2014-11-18T15:54:00Z</cp:lastPrinted>
  <dcterms:created xsi:type="dcterms:W3CDTF">2014-11-18T14:22:00Z</dcterms:created>
  <dcterms:modified xsi:type="dcterms:W3CDTF">2014-11-18T15:54:00Z</dcterms:modified>
</cp:coreProperties>
</file>