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DC2" w:rsidRPr="008F4FEF" w:rsidRDefault="007F1DC2">
      <w:pPr>
        <w:rPr>
          <w:sz w:val="32"/>
          <w:szCs w:val="32"/>
        </w:rPr>
      </w:pPr>
      <w:r w:rsidRPr="008F4FEF">
        <w:rPr>
          <w:sz w:val="32"/>
          <w:szCs w:val="32"/>
        </w:rPr>
        <w:t>Rapid ART:</w:t>
      </w:r>
    </w:p>
    <w:p w:rsidR="007F1DC2" w:rsidRPr="008F4FEF" w:rsidRDefault="007F1DC2">
      <w:pPr>
        <w:rPr>
          <w:sz w:val="28"/>
          <w:szCs w:val="28"/>
        </w:rPr>
      </w:pPr>
      <w:r w:rsidRPr="008F4FEF">
        <w:rPr>
          <w:sz w:val="28"/>
          <w:szCs w:val="28"/>
        </w:rPr>
        <w:t>Rapid Initiation of Antiviral Therapy Protocol for newly diagnosed HIV positive adults</w:t>
      </w:r>
    </w:p>
    <w:p w:rsidR="00C74504" w:rsidRPr="008F4FEF" w:rsidRDefault="007F1DC2">
      <w:pPr>
        <w:rPr>
          <w:sz w:val="28"/>
          <w:szCs w:val="28"/>
        </w:rPr>
      </w:pPr>
      <w:r w:rsidRPr="008F4FEF">
        <w:rPr>
          <w:sz w:val="28"/>
          <w:szCs w:val="28"/>
        </w:rPr>
        <w:t xml:space="preserve">Contra Costa Health Services </w:t>
      </w:r>
    </w:p>
    <w:p w:rsidR="007F1DC2" w:rsidRPr="008F4FEF" w:rsidRDefault="00153ACC">
      <w:pPr>
        <w:rPr>
          <w:sz w:val="28"/>
          <w:szCs w:val="28"/>
        </w:rPr>
      </w:pPr>
      <w:r>
        <w:rPr>
          <w:sz w:val="28"/>
          <w:szCs w:val="28"/>
        </w:rPr>
        <w:t>V</w:t>
      </w:r>
      <w:r w:rsidR="007F1DC2" w:rsidRPr="008F4FEF">
        <w:rPr>
          <w:sz w:val="28"/>
          <w:szCs w:val="28"/>
        </w:rPr>
        <w:t>ersion 1.</w:t>
      </w:r>
      <w:r w:rsidR="00623AA0">
        <w:rPr>
          <w:sz w:val="28"/>
          <w:szCs w:val="28"/>
        </w:rPr>
        <w:t>4</w:t>
      </w:r>
      <w:r w:rsidR="007F1DC2" w:rsidRPr="008F4FEF">
        <w:rPr>
          <w:sz w:val="28"/>
          <w:szCs w:val="28"/>
        </w:rPr>
        <w:t xml:space="preserve"> </w:t>
      </w:r>
      <w:r w:rsidR="00623AA0">
        <w:rPr>
          <w:sz w:val="28"/>
          <w:szCs w:val="28"/>
        </w:rPr>
        <w:t>November 29</w:t>
      </w:r>
      <w:r w:rsidR="007F1DC2" w:rsidRPr="008F4FEF">
        <w:rPr>
          <w:sz w:val="28"/>
          <w:szCs w:val="28"/>
        </w:rPr>
        <w:t>, 2016</w:t>
      </w:r>
    </w:p>
    <w:p w:rsidR="008F4FEF" w:rsidRPr="008F4FEF" w:rsidRDefault="007F1DC2">
      <w:pPr>
        <w:rPr>
          <w:b/>
        </w:rPr>
      </w:pPr>
      <w:r w:rsidRPr="008F4FEF">
        <w:rPr>
          <w:b/>
        </w:rPr>
        <w:t xml:space="preserve">Purpose: </w:t>
      </w:r>
    </w:p>
    <w:p w:rsidR="008F4FEF" w:rsidRPr="001A1146" w:rsidRDefault="007F1DC2">
      <w:pPr>
        <w:rPr>
          <w:b/>
        </w:rPr>
      </w:pPr>
      <w:r>
        <w:t xml:space="preserve">Currently in Contra Costa County, </w:t>
      </w:r>
      <w:r w:rsidR="00593F59">
        <w:t xml:space="preserve">30% of newly diagnosed HIV positives are not linked to care within 30 days, </w:t>
      </w:r>
      <w:r>
        <w:t xml:space="preserve">the time from diagnosis to initiation of antiviral therapy averages </w:t>
      </w:r>
      <w:r w:rsidR="00BA2DFB">
        <w:t>many</w:t>
      </w:r>
      <w:r>
        <w:t xml:space="preserve"> months, </w:t>
      </w:r>
      <w:r w:rsidR="00886764">
        <w:t>and there are</w:t>
      </w:r>
      <w:r>
        <w:t xml:space="preserve"> additional months before the</w:t>
      </w:r>
      <w:r w:rsidR="00886764">
        <w:t>y achieve</w:t>
      </w:r>
      <w:r>
        <w:t xml:space="preserve"> virologic suppression. During this time period these </w:t>
      </w:r>
      <w:r w:rsidR="00BA2DFB">
        <w:t xml:space="preserve">HIV+ </w:t>
      </w:r>
      <w:r>
        <w:t xml:space="preserve">individuals remain potentially at risk for spreading HIV to others via sexual contact or intravenous drug use. </w:t>
      </w:r>
      <w:r w:rsidR="00BA2DFB">
        <w:t xml:space="preserve">Eliminating the HIV epidemic in the US will require addressing this population and shortening the window of time after diagnosis in which they are at risk for transmitting HIV to others. </w:t>
      </w:r>
      <w:r w:rsidR="00593F59">
        <w:t xml:space="preserve">A recent study found that among heterosexual couples, viral suppression reduced the risk of sexually transmitting the virus to an uninfected partner by 96%. </w:t>
      </w:r>
      <w:r w:rsidR="00886764">
        <w:t xml:space="preserve">Although 87% of HIV positives in Contra Costa County are aware of their HIV+ status, only 70% are on antivirals and virally suppressed. In 2014, 104 people were newly diagnosed with HIV in Contra Costa County. </w:t>
      </w:r>
      <w:r w:rsidR="00593F59">
        <w:t>Rapid initiation of a</w:t>
      </w:r>
      <w:r w:rsidR="008F4FEF">
        <w:t xml:space="preserve">ntiviral therapy </w:t>
      </w:r>
      <w:r w:rsidR="00593F59">
        <w:t xml:space="preserve">(Rapid ART) </w:t>
      </w:r>
      <w:r w:rsidR="008F4FEF">
        <w:t xml:space="preserve">is now recommended to be offered to newly diagnosed HIV+s </w:t>
      </w:r>
      <w:r w:rsidR="001A1146">
        <w:t>as an effective means to c</w:t>
      </w:r>
      <w:r w:rsidR="00886764">
        <w:t>lose this gap</w:t>
      </w:r>
      <w:r w:rsidR="001A1146">
        <w:t xml:space="preserve"> of diagnosed but not virally suppressed individuals</w:t>
      </w:r>
      <w:r w:rsidR="00886764">
        <w:t>.</w:t>
      </w:r>
      <w:r w:rsidR="00886764" w:rsidRPr="00886764">
        <w:rPr>
          <w:b/>
        </w:rPr>
        <w:t xml:space="preserve"> </w:t>
      </w:r>
      <w:r w:rsidR="00886764">
        <w:t>Reference</w:t>
      </w:r>
      <w:r w:rsidR="00886764" w:rsidRPr="00886764">
        <w:t>:</w:t>
      </w:r>
      <w:r w:rsidR="00886764">
        <w:rPr>
          <w:b/>
        </w:rPr>
        <w:t xml:space="preserve"> </w:t>
      </w:r>
      <w:r w:rsidR="00886764" w:rsidRPr="00886764">
        <w:t>http://cchealth.org/aids/pdf/HIV-surveillance-brief2016.pdf</w:t>
      </w:r>
    </w:p>
    <w:p w:rsidR="007C401D" w:rsidRPr="008F4FEF" w:rsidRDefault="007C401D" w:rsidP="007C401D">
      <w:pPr>
        <w:rPr>
          <w:b/>
        </w:rPr>
      </w:pPr>
      <w:r>
        <w:rPr>
          <w:b/>
        </w:rPr>
        <w:t>Background</w:t>
      </w:r>
      <w:r w:rsidRPr="008F4FEF">
        <w:rPr>
          <w:b/>
        </w:rPr>
        <w:t>:</w:t>
      </w:r>
    </w:p>
    <w:p w:rsidR="007C401D" w:rsidRDefault="007C401D">
      <w:r>
        <w:t>San Francisco piloted a rapid initiation of antiviral therapy protocol in 2013. The goal was to reduce the time from diagnosis to initiation of ART from weeks/months to hours/days. They initially targeted new patients with acute HIV infection, and then extended the protocol in 2014 to include all new diagnoses of HIV. They were able to reduce the mean time to initiation of ART from 37 days to 1 day, and the time from diagnosis to viral load suppression from 132 days to 56 days. Patient acceptance was high</w:t>
      </w:r>
      <w:r w:rsidR="00593F59">
        <w:t>, with 99% of patients offered R</w:t>
      </w:r>
      <w:r>
        <w:t>apid ART still taking ART 60 days after ART initiation versus only 80% offered ART via traditional approach. They are now expanding their Rapid ART protocol to include all testing and treatment sites within the City and County of San Francisco by 2020.</w:t>
      </w:r>
      <w:r w:rsidR="00593F59">
        <w:t xml:space="preserve"> </w:t>
      </w:r>
    </w:p>
    <w:p w:rsidR="001A1146" w:rsidRDefault="001A1146">
      <w:pPr>
        <w:rPr>
          <w:b/>
        </w:rPr>
      </w:pPr>
      <w:r>
        <w:rPr>
          <w:b/>
        </w:rPr>
        <w:br w:type="page"/>
      </w:r>
    </w:p>
    <w:p w:rsidR="008F4FEF" w:rsidRPr="008F4FEF" w:rsidRDefault="008F4FEF" w:rsidP="008F4FEF">
      <w:pPr>
        <w:rPr>
          <w:b/>
        </w:rPr>
      </w:pPr>
      <w:r>
        <w:rPr>
          <w:b/>
        </w:rPr>
        <w:lastRenderedPageBreak/>
        <w:t xml:space="preserve">Outcome </w:t>
      </w:r>
      <w:r w:rsidRPr="008F4FEF">
        <w:rPr>
          <w:b/>
        </w:rPr>
        <w:t>Goals of Rapid ART:</w:t>
      </w:r>
    </w:p>
    <w:p w:rsidR="007F1DC2" w:rsidRDefault="007F1DC2">
      <w:r>
        <w:t xml:space="preserve">Delivering antiviral therapy </w:t>
      </w:r>
      <w:r w:rsidR="00471EB7">
        <w:t xml:space="preserve">(ART) </w:t>
      </w:r>
      <w:r>
        <w:t>as soon as possible after diagnosis:</w:t>
      </w:r>
    </w:p>
    <w:p w:rsidR="007F1DC2" w:rsidRDefault="007F1DC2" w:rsidP="007F1DC2">
      <w:pPr>
        <w:pStyle w:val="ListParagraph"/>
        <w:numPr>
          <w:ilvl w:val="0"/>
          <w:numId w:val="1"/>
        </w:numPr>
      </w:pPr>
      <w:r>
        <w:t xml:space="preserve">Improves morbidity and mortality in all stages of infection </w:t>
      </w:r>
      <w:r w:rsidRPr="00471EB7">
        <w:rPr>
          <w:sz w:val="18"/>
          <w:szCs w:val="18"/>
        </w:rPr>
        <w:t>(START INSIGHT Team NEJM 2015)</w:t>
      </w:r>
      <w:r>
        <w:t>.</w:t>
      </w:r>
    </w:p>
    <w:p w:rsidR="007F1DC2" w:rsidRDefault="00471EB7" w:rsidP="007F1DC2">
      <w:pPr>
        <w:pStyle w:val="ListParagraph"/>
        <w:numPr>
          <w:ilvl w:val="0"/>
          <w:numId w:val="1"/>
        </w:numPr>
      </w:pPr>
      <w:r>
        <w:t xml:space="preserve">In acute/recent HIV infection: limits reservoirs and hyper-infectivity </w:t>
      </w:r>
      <w:r w:rsidRPr="00471EB7">
        <w:rPr>
          <w:sz w:val="18"/>
          <w:szCs w:val="18"/>
        </w:rPr>
        <w:t>(Jain et al. JID 2013; Saez-Ciron et al. VISCONTI team, PLoS Pathog. 2013)</w:t>
      </w:r>
    </w:p>
    <w:p w:rsidR="00471EB7" w:rsidRPr="00ED39FF" w:rsidRDefault="00471EB7" w:rsidP="007F1DC2">
      <w:pPr>
        <w:pStyle w:val="ListParagraph"/>
        <w:numPr>
          <w:ilvl w:val="0"/>
          <w:numId w:val="1"/>
        </w:numPr>
      </w:pPr>
      <w:r>
        <w:t xml:space="preserve">Reduces transmission by 96% </w:t>
      </w:r>
      <w:r w:rsidRPr="00471EB7">
        <w:rPr>
          <w:sz w:val="18"/>
          <w:szCs w:val="18"/>
        </w:rPr>
        <w:t>(HPTNO52-Cohen et al.NEJM 2011)</w:t>
      </w:r>
    </w:p>
    <w:p w:rsidR="007C401D" w:rsidRPr="001A1146" w:rsidRDefault="00ED39FF" w:rsidP="001A1146">
      <w:pPr>
        <w:pStyle w:val="ListParagraph"/>
        <w:numPr>
          <w:ilvl w:val="0"/>
          <w:numId w:val="1"/>
        </w:numPr>
        <w:rPr>
          <w:b/>
        </w:rPr>
      </w:pPr>
      <w:r w:rsidRPr="00ED39FF">
        <w:t xml:space="preserve">With </w:t>
      </w:r>
      <w:r w:rsidR="00BA2DFB">
        <w:t xml:space="preserve">use of </w:t>
      </w:r>
      <w:r w:rsidRPr="00ED39FF">
        <w:t>current</w:t>
      </w:r>
      <w:r w:rsidR="00BA2DFB">
        <w:t>ly available</w:t>
      </w:r>
      <w:r w:rsidRPr="00ED39FF">
        <w:t xml:space="preserve"> </w:t>
      </w:r>
      <w:r w:rsidR="00BA2DFB">
        <w:t>antiviral regimens</w:t>
      </w:r>
      <w:r w:rsidRPr="00ED39FF">
        <w:t xml:space="preserve"> poses a very low risk of developing antiviral resistance when ART is started while awaiting results of resistance testing and modifying therapy once resistance test results are known.</w:t>
      </w:r>
      <w:r w:rsidR="007C401D" w:rsidRPr="007C401D">
        <w:rPr>
          <w:sz w:val="18"/>
          <w:szCs w:val="18"/>
        </w:rPr>
        <w:t xml:space="preserve"> (data provided by Oliver Bacon, MD, MPH, SF Dept. of Public Health)</w:t>
      </w:r>
    </w:p>
    <w:p w:rsidR="001F238A" w:rsidRPr="007C401D" w:rsidRDefault="008F4FEF" w:rsidP="007C401D">
      <w:pPr>
        <w:rPr>
          <w:b/>
        </w:rPr>
      </w:pPr>
      <w:r w:rsidRPr="007C401D">
        <w:rPr>
          <w:b/>
        </w:rPr>
        <w:t xml:space="preserve">Process </w:t>
      </w:r>
      <w:r w:rsidR="001F238A" w:rsidRPr="007C401D">
        <w:rPr>
          <w:b/>
        </w:rPr>
        <w:t>Goals of Rapid ART</w:t>
      </w:r>
      <w:r w:rsidRPr="007C401D">
        <w:rPr>
          <w:b/>
        </w:rPr>
        <w:t>:</w:t>
      </w:r>
    </w:p>
    <w:p w:rsidR="001F238A" w:rsidRDefault="001F238A" w:rsidP="001F238A">
      <w:pPr>
        <w:pStyle w:val="ListParagraph"/>
        <w:numPr>
          <w:ilvl w:val="0"/>
          <w:numId w:val="2"/>
        </w:numPr>
      </w:pPr>
      <w:r>
        <w:t>All newly diagnosed HIV+s navigated to Positive Health Clinic within 7 days of confirmed diagnosis.</w:t>
      </w:r>
    </w:p>
    <w:p w:rsidR="001F238A" w:rsidRDefault="001F238A" w:rsidP="001F238A">
      <w:pPr>
        <w:pStyle w:val="ListParagraph"/>
        <w:numPr>
          <w:ilvl w:val="0"/>
          <w:numId w:val="2"/>
        </w:numPr>
      </w:pPr>
      <w:r>
        <w:t>Positive Health Providers start ART on the first visit</w:t>
      </w:r>
    </w:p>
    <w:p w:rsidR="00BA2DFB" w:rsidRDefault="00BA2DFB" w:rsidP="001F238A">
      <w:pPr>
        <w:pStyle w:val="ListParagraph"/>
        <w:numPr>
          <w:ilvl w:val="0"/>
          <w:numId w:val="2"/>
        </w:numPr>
      </w:pPr>
      <w:r>
        <w:t>Hospitalized patients start ART before hospital discharge</w:t>
      </w:r>
      <w:r w:rsidR="00B524BE">
        <w:t xml:space="preserve"> (consider consulting positive health clinic clinicians for advice on regimen selection)</w:t>
      </w:r>
    </w:p>
    <w:p w:rsidR="008F4FEF" w:rsidRDefault="001F238A" w:rsidP="001D525A">
      <w:r w:rsidRPr="008F4FEF">
        <w:rPr>
          <w:b/>
        </w:rPr>
        <w:t xml:space="preserve">Services that </w:t>
      </w:r>
      <w:r w:rsidR="005100F6" w:rsidRPr="008F4FEF">
        <w:rPr>
          <w:b/>
        </w:rPr>
        <w:t>should</w:t>
      </w:r>
      <w:r w:rsidRPr="008F4FEF">
        <w:rPr>
          <w:b/>
        </w:rPr>
        <w:t xml:space="preserve"> be provided to patients upon diagnosis</w:t>
      </w:r>
      <w:r w:rsidR="008F4FEF">
        <w:t>:</w:t>
      </w:r>
    </w:p>
    <w:p w:rsidR="001D525A" w:rsidRDefault="001D525A" w:rsidP="001D525A">
      <w:r w:rsidRPr="001D525A">
        <w:t xml:space="preserve"> </w:t>
      </w:r>
      <w:r w:rsidR="007C401D">
        <w:t>(</w:t>
      </w:r>
      <w:r w:rsidR="008F4FEF">
        <w:t>P</w:t>
      </w:r>
      <w:r>
        <w:t xml:space="preserve">rovided by clinicians, social workers, case managers, </w:t>
      </w:r>
      <w:r w:rsidR="00ED39FF">
        <w:t xml:space="preserve">and/or </w:t>
      </w:r>
      <w:r>
        <w:t>fina</w:t>
      </w:r>
      <w:r w:rsidR="008F4FEF">
        <w:t>ncial benefits counselors, etc.</w:t>
      </w:r>
      <w:r w:rsidR="007C401D">
        <w:t>)</w:t>
      </w:r>
    </w:p>
    <w:p w:rsidR="001D525A" w:rsidRDefault="001D525A" w:rsidP="001D525A">
      <w:pPr>
        <w:pStyle w:val="ListParagraph"/>
        <w:numPr>
          <w:ilvl w:val="0"/>
          <w:numId w:val="3"/>
        </w:numPr>
      </w:pPr>
      <w:r>
        <w:t>Disclosure</w:t>
      </w:r>
      <w:r w:rsidR="00BA2DFB">
        <w:t xml:space="preserve"> of</w:t>
      </w:r>
      <w:r w:rsidR="007C401D">
        <w:t xml:space="preserve"> positive</w:t>
      </w:r>
      <w:r w:rsidR="00BA2DFB">
        <w:t xml:space="preserve"> HIV test result</w:t>
      </w:r>
    </w:p>
    <w:p w:rsidR="001F238A" w:rsidRDefault="001F238A" w:rsidP="001F238A">
      <w:pPr>
        <w:pStyle w:val="ListParagraph"/>
        <w:numPr>
          <w:ilvl w:val="0"/>
          <w:numId w:val="3"/>
        </w:numPr>
      </w:pPr>
      <w:r>
        <w:t>Counseling</w:t>
      </w:r>
    </w:p>
    <w:p w:rsidR="001F238A" w:rsidRDefault="001F238A" w:rsidP="001F238A">
      <w:pPr>
        <w:pStyle w:val="ListParagraph"/>
        <w:numPr>
          <w:ilvl w:val="0"/>
          <w:numId w:val="3"/>
        </w:numPr>
      </w:pPr>
      <w:r>
        <w:t>Risk reduction for partners: safe sex ed, Pre-exposure prophylaxis (PreP) with Truvada</w:t>
      </w:r>
    </w:p>
    <w:p w:rsidR="001F238A" w:rsidRDefault="001D525A" w:rsidP="001D525A">
      <w:pPr>
        <w:pStyle w:val="ListParagraph"/>
        <w:numPr>
          <w:ilvl w:val="0"/>
          <w:numId w:val="3"/>
        </w:numPr>
      </w:pPr>
      <w:r>
        <w:t>Benefits/Insurance navigation including plan for medication access</w:t>
      </w:r>
    </w:p>
    <w:p w:rsidR="001D525A" w:rsidRDefault="001D525A" w:rsidP="001D525A">
      <w:pPr>
        <w:pStyle w:val="ListParagraph"/>
        <w:numPr>
          <w:ilvl w:val="1"/>
          <w:numId w:val="3"/>
        </w:numPr>
      </w:pPr>
      <w:r>
        <w:t>Emergency ADAP (AIDS Drug Assistance Program)</w:t>
      </w:r>
    </w:p>
    <w:p w:rsidR="001D525A" w:rsidRDefault="001D525A" w:rsidP="001D525A">
      <w:pPr>
        <w:pStyle w:val="ListParagraph"/>
        <w:numPr>
          <w:ilvl w:val="1"/>
          <w:numId w:val="3"/>
        </w:numPr>
      </w:pPr>
      <w:r>
        <w:t>Presumptive Medi-Cal</w:t>
      </w:r>
    </w:p>
    <w:p w:rsidR="001F238A" w:rsidRDefault="001F238A" w:rsidP="001F238A">
      <w:pPr>
        <w:pStyle w:val="ListParagraph"/>
        <w:numPr>
          <w:ilvl w:val="0"/>
          <w:numId w:val="3"/>
        </w:numPr>
      </w:pPr>
      <w:r>
        <w:t>Linkage to HIV outpatient care (Positive Health Clinic) within 7 days</w:t>
      </w:r>
      <w:r w:rsidR="00623AA0">
        <w:t>. Use Public Health Communicable Disease Internal Referral:</w:t>
      </w:r>
    </w:p>
    <w:p w:rsidR="00623AA0" w:rsidRDefault="00623AA0" w:rsidP="00623AA0">
      <w:r>
        <w:rPr>
          <w:noProof/>
        </w:rPr>
        <w:drawing>
          <wp:inline distT="0" distB="0" distL="0" distR="0" wp14:anchorId="11724922" wp14:editId="686C6701">
            <wp:extent cx="5943600" cy="20948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2094865"/>
                    </a:xfrm>
                    <a:prstGeom prst="rect">
                      <a:avLst/>
                    </a:prstGeom>
                  </pic:spPr>
                </pic:pic>
              </a:graphicData>
            </a:graphic>
          </wp:inline>
        </w:drawing>
      </w:r>
    </w:p>
    <w:p w:rsidR="00623AA0" w:rsidRDefault="001F238A" w:rsidP="001F238A">
      <w:pPr>
        <w:pStyle w:val="ListParagraph"/>
        <w:numPr>
          <w:ilvl w:val="0"/>
          <w:numId w:val="3"/>
        </w:numPr>
      </w:pPr>
      <w:r>
        <w:lastRenderedPageBreak/>
        <w:t>Medical evaluation including baseline labs (</w:t>
      </w:r>
      <w:r w:rsidR="001D525A">
        <w:t>“HIV New Diagnosis Initial Labs” panel</w:t>
      </w:r>
      <w:r w:rsidR="00623AA0">
        <w:t>:</w:t>
      </w:r>
    </w:p>
    <w:p w:rsidR="00623AA0" w:rsidRDefault="00623AA0" w:rsidP="00623AA0">
      <w:pPr>
        <w:pStyle w:val="ListParagraph"/>
      </w:pPr>
      <w:r w:rsidRPr="00623AA0">
        <w:rPr>
          <w:noProof/>
        </w:rPr>
        <w:drawing>
          <wp:inline distT="0" distB="0" distL="0" distR="0" wp14:anchorId="3D58851C" wp14:editId="07F74AE2">
            <wp:extent cx="4584948" cy="1863090"/>
            <wp:effectExtent l="0" t="0" r="6350" b="381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84948" cy="186309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rsidR="001F238A" w:rsidRDefault="00623AA0" w:rsidP="00623AA0">
      <w:pPr>
        <w:pStyle w:val="ListParagraph"/>
      </w:pPr>
      <w:r>
        <w:t>I</w:t>
      </w:r>
      <w:r w:rsidR="005100F6">
        <w:t>ncludes: T cells, HIV quantitative RNA, comp panel, HLA B5701, chronic hepatitis panel, CBC/d, RPR, toxo IgG, urinalysis, microalbumin/creatinine ratio</w:t>
      </w:r>
      <w:r w:rsidR="000E280E">
        <w:t>, quantiferon</w:t>
      </w:r>
      <w:r w:rsidR="005100F6">
        <w:t>-TB, HIV genotype). Labs should be drawn before patient takes their first dose of ARVs. ARV initiation can begin before results are available.</w:t>
      </w:r>
    </w:p>
    <w:p w:rsidR="001D525A" w:rsidRDefault="001D525A" w:rsidP="001F238A">
      <w:pPr>
        <w:pStyle w:val="ListParagraph"/>
        <w:numPr>
          <w:ilvl w:val="0"/>
          <w:numId w:val="3"/>
        </w:numPr>
      </w:pPr>
      <w:r>
        <w:t>Immediate ART start</w:t>
      </w:r>
      <w:r w:rsidR="00BA2DFB">
        <w:t xml:space="preserve"> at first Positive Health Clinic visit (or in hospital if admitted)</w:t>
      </w:r>
    </w:p>
    <w:p w:rsidR="001D525A" w:rsidRDefault="001D525A" w:rsidP="001D525A">
      <w:pPr>
        <w:pStyle w:val="ListParagraph"/>
        <w:numPr>
          <w:ilvl w:val="0"/>
          <w:numId w:val="3"/>
        </w:numPr>
      </w:pPr>
      <w:r>
        <w:t>Check in with patient 1-2 days after ART initiation by phone/text/email by clinician/social worker/case manager</w:t>
      </w:r>
    </w:p>
    <w:p w:rsidR="001D525A" w:rsidRDefault="001D525A" w:rsidP="008F4FEF">
      <w:pPr>
        <w:pStyle w:val="ListParagraph"/>
        <w:numPr>
          <w:ilvl w:val="0"/>
          <w:numId w:val="3"/>
        </w:numPr>
      </w:pPr>
      <w:r>
        <w:t>Schedule follow</w:t>
      </w:r>
      <w:r w:rsidR="00ED39FF">
        <w:t>-</w:t>
      </w:r>
      <w:r>
        <w:t>up in 1 week by clinician</w:t>
      </w:r>
    </w:p>
    <w:p w:rsidR="001A1146" w:rsidRDefault="001A1146">
      <w:pPr>
        <w:rPr>
          <w:b/>
        </w:rPr>
      </w:pPr>
      <w:r>
        <w:rPr>
          <w:b/>
        </w:rPr>
        <w:br w:type="page"/>
      </w:r>
    </w:p>
    <w:p w:rsidR="001D525A" w:rsidRPr="008F4FEF" w:rsidRDefault="001D525A" w:rsidP="00ED39FF">
      <w:pPr>
        <w:rPr>
          <w:b/>
        </w:rPr>
      </w:pPr>
      <w:r w:rsidRPr="008F4FEF">
        <w:rPr>
          <w:b/>
        </w:rPr>
        <w:lastRenderedPageBreak/>
        <w:t xml:space="preserve">Who is eligible for immediate </w:t>
      </w:r>
      <w:r w:rsidR="007C401D" w:rsidRPr="008F4FEF">
        <w:rPr>
          <w:b/>
        </w:rPr>
        <w:t>ART?</w:t>
      </w:r>
    </w:p>
    <w:p w:rsidR="001D525A" w:rsidRDefault="001D525A" w:rsidP="001D525A">
      <w:pPr>
        <w:pStyle w:val="ListParagraph"/>
        <w:numPr>
          <w:ilvl w:val="0"/>
          <w:numId w:val="4"/>
        </w:numPr>
      </w:pPr>
      <w:r>
        <w:t>Anyone with a new, confirmed HIV diagnosis unless there is a clear contraindication to starting immediate ART</w:t>
      </w:r>
    </w:p>
    <w:p w:rsidR="001D525A" w:rsidRDefault="001D525A" w:rsidP="001D525A">
      <w:pPr>
        <w:pStyle w:val="ListParagraph"/>
        <w:numPr>
          <w:ilvl w:val="0"/>
          <w:numId w:val="4"/>
        </w:numPr>
      </w:pPr>
      <w:r>
        <w:t>Known HIV+s who are hospitalized and previously not engaged in care and not on ART</w:t>
      </w:r>
      <w:r w:rsidR="00ED39FF">
        <w:t xml:space="preserve"> with a clear, uncomplicated ART history that suggests a low likelihood of ART resistance</w:t>
      </w:r>
      <w:r>
        <w:t xml:space="preserve"> (start while in hospital once stable and tolerating oral meds)</w:t>
      </w:r>
    </w:p>
    <w:p w:rsidR="001D525A" w:rsidRPr="007C401D" w:rsidRDefault="001D525A" w:rsidP="00ED39FF">
      <w:pPr>
        <w:rPr>
          <w:b/>
        </w:rPr>
      </w:pPr>
      <w:r w:rsidRPr="007C401D">
        <w:rPr>
          <w:b/>
        </w:rPr>
        <w:t xml:space="preserve">Who is not eligible for immediate </w:t>
      </w:r>
      <w:r w:rsidR="007C401D" w:rsidRPr="007C401D">
        <w:rPr>
          <w:b/>
        </w:rPr>
        <w:t>ART?</w:t>
      </w:r>
    </w:p>
    <w:p w:rsidR="001D525A" w:rsidRDefault="001D525A" w:rsidP="001D525A">
      <w:pPr>
        <w:pStyle w:val="ListParagraph"/>
        <w:numPr>
          <w:ilvl w:val="0"/>
          <w:numId w:val="5"/>
        </w:numPr>
      </w:pPr>
      <w:r>
        <w:t>Persons for whom immediate ART might be medically dangerous and who should undergo a thorough evaluation and stabilization before ART:</w:t>
      </w:r>
    </w:p>
    <w:p w:rsidR="001D525A" w:rsidRDefault="001D525A" w:rsidP="001D525A">
      <w:pPr>
        <w:pStyle w:val="ListParagraph"/>
        <w:numPr>
          <w:ilvl w:val="1"/>
          <w:numId w:val="5"/>
        </w:numPr>
      </w:pPr>
      <w:r>
        <w:t>Untreated cryptococcal meningitis (defer ART for 5 weeks after the diagnosis and antifungal treatment initiation)</w:t>
      </w:r>
    </w:p>
    <w:p w:rsidR="001D525A" w:rsidRDefault="001D525A" w:rsidP="001D525A">
      <w:pPr>
        <w:pStyle w:val="ListParagraph"/>
        <w:numPr>
          <w:ilvl w:val="1"/>
          <w:numId w:val="5"/>
        </w:numPr>
      </w:pPr>
      <w:r>
        <w:t xml:space="preserve">Pulmonary or gastrointestinal </w:t>
      </w:r>
      <w:r w:rsidR="007C401D">
        <w:t>Kaposi’s</w:t>
      </w:r>
      <w:r>
        <w:t xml:space="preserve"> sarcoma before chemotherapy</w:t>
      </w:r>
      <w:r w:rsidR="00ED39FF">
        <w:t xml:space="preserve"> (usually Doxil) has been started</w:t>
      </w:r>
    </w:p>
    <w:p w:rsidR="007C401D" w:rsidRDefault="008F4FEF" w:rsidP="007C401D">
      <w:pPr>
        <w:pStyle w:val="ListParagraph"/>
        <w:numPr>
          <w:ilvl w:val="1"/>
          <w:numId w:val="5"/>
        </w:numPr>
      </w:pPr>
      <w:r>
        <w:t>Active Tuberculosis</w:t>
      </w:r>
      <w:r w:rsidR="007C401D">
        <w:t xml:space="preserve"> (</w:t>
      </w:r>
      <w:r w:rsidR="00C83F6A">
        <w:t xml:space="preserve">consider </w:t>
      </w:r>
      <w:r w:rsidR="007C401D">
        <w:t>defer</w:t>
      </w:r>
      <w:r w:rsidR="00C83F6A">
        <w:t>ring</w:t>
      </w:r>
      <w:r w:rsidR="007C401D">
        <w:t xml:space="preserve"> ART for 5 weeks after the diagnosis and anti-TB treatment initiation</w:t>
      </w:r>
      <w:r w:rsidR="00C83F6A">
        <w:t>, consult with TB program staff</w:t>
      </w:r>
      <w:r w:rsidR="007C401D">
        <w:t>)</w:t>
      </w:r>
    </w:p>
    <w:p w:rsidR="008F4FEF" w:rsidRDefault="008F4FEF" w:rsidP="008F4FEF"/>
    <w:p w:rsidR="00ED39FF" w:rsidRPr="007C401D" w:rsidRDefault="00ED39FF" w:rsidP="00ED39FF">
      <w:pPr>
        <w:rPr>
          <w:b/>
        </w:rPr>
      </w:pPr>
      <w:r w:rsidRPr="007C401D">
        <w:rPr>
          <w:b/>
        </w:rPr>
        <w:t>Recommended Rapid ART regimens:</w:t>
      </w:r>
    </w:p>
    <w:tbl>
      <w:tblPr>
        <w:tblStyle w:val="TableGrid"/>
        <w:tblW w:w="0" w:type="auto"/>
        <w:tblLook w:val="04A0" w:firstRow="1" w:lastRow="0" w:firstColumn="1" w:lastColumn="0" w:noHBand="0" w:noVBand="1"/>
      </w:tblPr>
      <w:tblGrid>
        <w:gridCol w:w="4698"/>
        <w:gridCol w:w="1440"/>
        <w:gridCol w:w="1620"/>
        <w:gridCol w:w="1818"/>
      </w:tblGrid>
      <w:tr w:rsidR="00ED39FF" w:rsidTr="006158D6">
        <w:tc>
          <w:tcPr>
            <w:tcW w:w="4698" w:type="dxa"/>
          </w:tcPr>
          <w:p w:rsidR="00ED39FF" w:rsidRPr="00ED39FF" w:rsidRDefault="00ED39FF" w:rsidP="00ED39FF">
            <w:pPr>
              <w:jc w:val="center"/>
              <w:rPr>
                <w:i/>
              </w:rPr>
            </w:pPr>
            <w:r w:rsidRPr="00ED39FF">
              <w:rPr>
                <w:i/>
              </w:rPr>
              <w:t>Regimen</w:t>
            </w:r>
          </w:p>
        </w:tc>
        <w:tc>
          <w:tcPr>
            <w:tcW w:w="1440" w:type="dxa"/>
          </w:tcPr>
          <w:p w:rsidR="00ED39FF" w:rsidRPr="00ED39FF" w:rsidRDefault="00ED39FF" w:rsidP="00ED39FF">
            <w:pPr>
              <w:jc w:val="center"/>
              <w:rPr>
                <w:i/>
              </w:rPr>
            </w:pPr>
            <w:r w:rsidRPr="00ED39FF">
              <w:rPr>
                <w:i/>
              </w:rPr>
              <w:t>Pill Burden</w:t>
            </w:r>
          </w:p>
        </w:tc>
        <w:tc>
          <w:tcPr>
            <w:tcW w:w="1620" w:type="dxa"/>
          </w:tcPr>
          <w:p w:rsidR="00ED39FF" w:rsidRPr="00ED39FF" w:rsidRDefault="00ED39FF" w:rsidP="00ED39FF">
            <w:pPr>
              <w:jc w:val="center"/>
              <w:rPr>
                <w:i/>
              </w:rPr>
            </w:pPr>
            <w:r w:rsidRPr="00ED39FF">
              <w:rPr>
                <w:i/>
              </w:rPr>
              <w:t>Pros</w:t>
            </w:r>
          </w:p>
        </w:tc>
        <w:tc>
          <w:tcPr>
            <w:tcW w:w="1818" w:type="dxa"/>
          </w:tcPr>
          <w:p w:rsidR="00ED39FF" w:rsidRPr="00ED39FF" w:rsidRDefault="00ED39FF" w:rsidP="00ED39FF">
            <w:pPr>
              <w:jc w:val="center"/>
              <w:rPr>
                <w:i/>
              </w:rPr>
            </w:pPr>
            <w:r w:rsidRPr="00ED39FF">
              <w:rPr>
                <w:i/>
              </w:rPr>
              <w:t>Cons</w:t>
            </w:r>
          </w:p>
        </w:tc>
      </w:tr>
      <w:tr w:rsidR="00ED39FF" w:rsidTr="006158D6">
        <w:tc>
          <w:tcPr>
            <w:tcW w:w="4698" w:type="dxa"/>
          </w:tcPr>
          <w:p w:rsidR="00ED39FF" w:rsidRDefault="00A25604" w:rsidP="00ED39FF">
            <w:pPr>
              <w:rPr>
                <w:sz w:val="18"/>
                <w:szCs w:val="18"/>
              </w:rPr>
            </w:pPr>
            <w:r>
              <w:rPr>
                <w:sz w:val="18"/>
                <w:szCs w:val="18"/>
              </w:rPr>
              <w:t>d</w:t>
            </w:r>
            <w:r w:rsidR="00ED39FF" w:rsidRPr="00ED39FF">
              <w:rPr>
                <w:sz w:val="18"/>
                <w:szCs w:val="18"/>
              </w:rPr>
              <w:t xml:space="preserve">olutegravir </w:t>
            </w:r>
            <w:r>
              <w:rPr>
                <w:sz w:val="18"/>
                <w:szCs w:val="18"/>
              </w:rPr>
              <w:t xml:space="preserve">(Tivicay) </w:t>
            </w:r>
            <w:r w:rsidR="00ED39FF" w:rsidRPr="00ED39FF">
              <w:rPr>
                <w:sz w:val="18"/>
                <w:szCs w:val="18"/>
              </w:rPr>
              <w:t>50mg once daily</w:t>
            </w:r>
          </w:p>
          <w:p w:rsidR="00E46F64" w:rsidRPr="00ED39FF" w:rsidRDefault="00A25604" w:rsidP="00A25604">
            <w:pPr>
              <w:rPr>
                <w:sz w:val="18"/>
                <w:szCs w:val="18"/>
              </w:rPr>
            </w:pPr>
            <w:r>
              <w:rPr>
                <w:sz w:val="18"/>
                <w:szCs w:val="18"/>
              </w:rPr>
              <w:t>t</w:t>
            </w:r>
            <w:r w:rsidR="00E46F64">
              <w:rPr>
                <w:sz w:val="18"/>
                <w:szCs w:val="18"/>
              </w:rPr>
              <w:t>enofovir alafenamide 25mg/emtricitabine</w:t>
            </w:r>
            <w:r>
              <w:rPr>
                <w:sz w:val="18"/>
                <w:szCs w:val="18"/>
              </w:rPr>
              <w:t xml:space="preserve"> 200mg (Descovy) </w:t>
            </w:r>
            <w:r w:rsidR="00E46F64">
              <w:rPr>
                <w:sz w:val="18"/>
                <w:szCs w:val="18"/>
              </w:rPr>
              <w:t>once daily</w:t>
            </w:r>
          </w:p>
        </w:tc>
        <w:tc>
          <w:tcPr>
            <w:tcW w:w="1440" w:type="dxa"/>
          </w:tcPr>
          <w:p w:rsidR="00ED39FF" w:rsidRPr="00ED39FF" w:rsidRDefault="00E46F64" w:rsidP="00ED39FF">
            <w:pPr>
              <w:rPr>
                <w:sz w:val="18"/>
                <w:szCs w:val="18"/>
              </w:rPr>
            </w:pPr>
            <w:r>
              <w:rPr>
                <w:sz w:val="18"/>
                <w:szCs w:val="18"/>
              </w:rPr>
              <w:t>2 pills once daily</w:t>
            </w:r>
          </w:p>
        </w:tc>
        <w:tc>
          <w:tcPr>
            <w:tcW w:w="1620" w:type="dxa"/>
          </w:tcPr>
          <w:p w:rsidR="00ED39FF" w:rsidRDefault="00E46F64" w:rsidP="00ED39FF">
            <w:pPr>
              <w:rPr>
                <w:sz w:val="18"/>
                <w:szCs w:val="18"/>
              </w:rPr>
            </w:pPr>
            <w:r>
              <w:rPr>
                <w:sz w:val="18"/>
                <w:szCs w:val="18"/>
              </w:rPr>
              <w:t>-Rapid drop in viral load</w:t>
            </w:r>
          </w:p>
          <w:p w:rsidR="00E46F64" w:rsidRDefault="00E46F64" w:rsidP="00ED39FF">
            <w:pPr>
              <w:rPr>
                <w:sz w:val="18"/>
                <w:szCs w:val="18"/>
              </w:rPr>
            </w:pPr>
            <w:r>
              <w:rPr>
                <w:sz w:val="18"/>
                <w:szCs w:val="18"/>
              </w:rPr>
              <w:t>-Well tolerated</w:t>
            </w:r>
          </w:p>
          <w:p w:rsidR="00E46F64" w:rsidRDefault="00E46F64" w:rsidP="00ED39FF">
            <w:pPr>
              <w:rPr>
                <w:sz w:val="18"/>
                <w:szCs w:val="18"/>
              </w:rPr>
            </w:pPr>
            <w:r>
              <w:rPr>
                <w:sz w:val="18"/>
                <w:szCs w:val="18"/>
              </w:rPr>
              <w:t>-High barrier to resistance</w:t>
            </w:r>
          </w:p>
          <w:p w:rsidR="00E46F64" w:rsidRPr="00ED39FF" w:rsidRDefault="00E46F64" w:rsidP="00ED39FF">
            <w:pPr>
              <w:rPr>
                <w:sz w:val="18"/>
                <w:szCs w:val="18"/>
              </w:rPr>
            </w:pPr>
            <w:r>
              <w:rPr>
                <w:sz w:val="18"/>
                <w:szCs w:val="18"/>
              </w:rPr>
              <w:t>-Once daily dosing</w:t>
            </w:r>
          </w:p>
        </w:tc>
        <w:tc>
          <w:tcPr>
            <w:tcW w:w="1818" w:type="dxa"/>
          </w:tcPr>
          <w:p w:rsidR="00ED39FF" w:rsidRPr="00ED39FF" w:rsidRDefault="00E46F64" w:rsidP="00ED39FF">
            <w:pPr>
              <w:rPr>
                <w:sz w:val="18"/>
                <w:szCs w:val="18"/>
              </w:rPr>
            </w:pPr>
            <w:r>
              <w:rPr>
                <w:sz w:val="18"/>
                <w:szCs w:val="18"/>
              </w:rPr>
              <w:t>Limited experience</w:t>
            </w:r>
          </w:p>
        </w:tc>
      </w:tr>
      <w:tr w:rsidR="00ED39FF" w:rsidTr="006158D6">
        <w:tc>
          <w:tcPr>
            <w:tcW w:w="4698" w:type="dxa"/>
          </w:tcPr>
          <w:p w:rsidR="00ED39FF" w:rsidRDefault="00A25604" w:rsidP="00ED39FF">
            <w:pPr>
              <w:rPr>
                <w:sz w:val="18"/>
                <w:szCs w:val="18"/>
              </w:rPr>
            </w:pPr>
            <w:r>
              <w:rPr>
                <w:sz w:val="18"/>
                <w:szCs w:val="18"/>
              </w:rPr>
              <w:t>d</w:t>
            </w:r>
            <w:r w:rsidR="00E46F64">
              <w:rPr>
                <w:sz w:val="18"/>
                <w:szCs w:val="18"/>
              </w:rPr>
              <w:t xml:space="preserve">arunavir </w:t>
            </w:r>
            <w:r>
              <w:rPr>
                <w:sz w:val="18"/>
                <w:szCs w:val="18"/>
              </w:rPr>
              <w:t xml:space="preserve">(Prezista) </w:t>
            </w:r>
            <w:r w:rsidR="00E46F64">
              <w:rPr>
                <w:sz w:val="18"/>
                <w:szCs w:val="18"/>
              </w:rPr>
              <w:t>800mg once daily</w:t>
            </w:r>
            <w:r>
              <w:rPr>
                <w:sz w:val="18"/>
                <w:szCs w:val="18"/>
              </w:rPr>
              <w:t xml:space="preserve"> </w:t>
            </w:r>
          </w:p>
          <w:p w:rsidR="00E46F64" w:rsidRDefault="00A25604" w:rsidP="00ED39FF">
            <w:pPr>
              <w:rPr>
                <w:sz w:val="18"/>
                <w:szCs w:val="18"/>
              </w:rPr>
            </w:pPr>
            <w:r>
              <w:rPr>
                <w:sz w:val="18"/>
                <w:szCs w:val="18"/>
              </w:rPr>
              <w:t>r</w:t>
            </w:r>
            <w:r w:rsidR="00E46F64">
              <w:rPr>
                <w:sz w:val="18"/>
                <w:szCs w:val="18"/>
              </w:rPr>
              <w:t xml:space="preserve">itonavir </w:t>
            </w:r>
            <w:r>
              <w:rPr>
                <w:sz w:val="18"/>
                <w:szCs w:val="18"/>
              </w:rPr>
              <w:t xml:space="preserve">(Norvir) </w:t>
            </w:r>
            <w:r w:rsidR="00E46F64">
              <w:rPr>
                <w:sz w:val="18"/>
                <w:szCs w:val="18"/>
              </w:rPr>
              <w:t>100mg once daily</w:t>
            </w:r>
          </w:p>
          <w:p w:rsidR="00E46F64" w:rsidRPr="00ED39FF" w:rsidRDefault="00A25604" w:rsidP="00A25604">
            <w:pPr>
              <w:rPr>
                <w:sz w:val="18"/>
                <w:szCs w:val="18"/>
              </w:rPr>
            </w:pPr>
            <w:r>
              <w:rPr>
                <w:sz w:val="18"/>
                <w:szCs w:val="18"/>
              </w:rPr>
              <w:t>t</w:t>
            </w:r>
            <w:r w:rsidR="00E46F64">
              <w:rPr>
                <w:sz w:val="18"/>
                <w:szCs w:val="18"/>
              </w:rPr>
              <w:t xml:space="preserve">enofovir alafenamide 25mg/emtricitabine 200mg </w:t>
            </w:r>
            <w:r>
              <w:rPr>
                <w:sz w:val="18"/>
                <w:szCs w:val="18"/>
              </w:rPr>
              <w:t xml:space="preserve">(Descovy) </w:t>
            </w:r>
            <w:r w:rsidR="00E46F64">
              <w:rPr>
                <w:sz w:val="18"/>
                <w:szCs w:val="18"/>
              </w:rPr>
              <w:t>once daily</w:t>
            </w:r>
          </w:p>
        </w:tc>
        <w:tc>
          <w:tcPr>
            <w:tcW w:w="1440" w:type="dxa"/>
          </w:tcPr>
          <w:p w:rsidR="00ED39FF" w:rsidRPr="00ED39FF" w:rsidRDefault="00E46F64" w:rsidP="00ED39FF">
            <w:pPr>
              <w:rPr>
                <w:sz w:val="18"/>
                <w:szCs w:val="18"/>
              </w:rPr>
            </w:pPr>
            <w:r>
              <w:rPr>
                <w:sz w:val="18"/>
                <w:szCs w:val="18"/>
              </w:rPr>
              <w:t>3 pills once daily</w:t>
            </w:r>
          </w:p>
        </w:tc>
        <w:tc>
          <w:tcPr>
            <w:tcW w:w="1620" w:type="dxa"/>
          </w:tcPr>
          <w:p w:rsidR="00ED39FF" w:rsidRDefault="00E46F64" w:rsidP="00ED39FF">
            <w:pPr>
              <w:rPr>
                <w:sz w:val="18"/>
                <w:szCs w:val="18"/>
              </w:rPr>
            </w:pPr>
            <w:r>
              <w:rPr>
                <w:sz w:val="18"/>
                <w:szCs w:val="18"/>
              </w:rPr>
              <w:t>-High barrier to resistance</w:t>
            </w:r>
          </w:p>
          <w:p w:rsidR="00E46F64" w:rsidRDefault="00E46F64" w:rsidP="00ED39FF">
            <w:pPr>
              <w:rPr>
                <w:sz w:val="18"/>
                <w:szCs w:val="18"/>
              </w:rPr>
            </w:pPr>
            <w:r>
              <w:rPr>
                <w:sz w:val="18"/>
                <w:szCs w:val="18"/>
              </w:rPr>
              <w:t>-Clinical experience suggests efficacy even if M184V mutation present</w:t>
            </w:r>
          </w:p>
          <w:p w:rsidR="00E46F64" w:rsidRPr="00ED39FF" w:rsidRDefault="006158D6" w:rsidP="00ED39FF">
            <w:pPr>
              <w:rPr>
                <w:sz w:val="18"/>
                <w:szCs w:val="18"/>
              </w:rPr>
            </w:pPr>
            <w:r>
              <w:rPr>
                <w:sz w:val="18"/>
                <w:szCs w:val="18"/>
              </w:rPr>
              <w:t>-Once daily dosing</w:t>
            </w:r>
          </w:p>
        </w:tc>
        <w:tc>
          <w:tcPr>
            <w:tcW w:w="1818" w:type="dxa"/>
          </w:tcPr>
          <w:p w:rsidR="00ED39FF" w:rsidRPr="00ED39FF" w:rsidRDefault="00E46F64" w:rsidP="00ED39FF">
            <w:pPr>
              <w:rPr>
                <w:sz w:val="18"/>
                <w:szCs w:val="18"/>
              </w:rPr>
            </w:pPr>
            <w:r>
              <w:rPr>
                <w:sz w:val="18"/>
                <w:szCs w:val="18"/>
              </w:rPr>
              <w:t>Drug interactions (ritonavir a CYP3A4 inhibitor)</w:t>
            </w:r>
          </w:p>
        </w:tc>
      </w:tr>
      <w:tr w:rsidR="00ED39FF" w:rsidTr="006158D6">
        <w:tc>
          <w:tcPr>
            <w:tcW w:w="4698" w:type="dxa"/>
          </w:tcPr>
          <w:p w:rsidR="00ED39FF" w:rsidRDefault="00A25604" w:rsidP="00ED39FF">
            <w:pPr>
              <w:rPr>
                <w:sz w:val="18"/>
                <w:szCs w:val="18"/>
              </w:rPr>
            </w:pPr>
            <w:r>
              <w:rPr>
                <w:sz w:val="18"/>
                <w:szCs w:val="18"/>
              </w:rPr>
              <w:t>r</w:t>
            </w:r>
            <w:r w:rsidR="00E46F64">
              <w:rPr>
                <w:sz w:val="18"/>
                <w:szCs w:val="18"/>
              </w:rPr>
              <w:t xml:space="preserve">altegravir </w:t>
            </w:r>
            <w:r>
              <w:rPr>
                <w:sz w:val="18"/>
                <w:szCs w:val="18"/>
              </w:rPr>
              <w:t xml:space="preserve">(Isentress) </w:t>
            </w:r>
            <w:r w:rsidR="00E46F64">
              <w:rPr>
                <w:sz w:val="18"/>
                <w:szCs w:val="18"/>
              </w:rPr>
              <w:t>400mg twice daily</w:t>
            </w:r>
          </w:p>
          <w:p w:rsidR="00E46F64" w:rsidRPr="00ED39FF" w:rsidRDefault="00A25604" w:rsidP="00A25604">
            <w:pPr>
              <w:rPr>
                <w:sz w:val="18"/>
                <w:szCs w:val="18"/>
              </w:rPr>
            </w:pPr>
            <w:r>
              <w:rPr>
                <w:sz w:val="18"/>
                <w:szCs w:val="18"/>
              </w:rPr>
              <w:t>t</w:t>
            </w:r>
            <w:r w:rsidR="00E46F64">
              <w:rPr>
                <w:sz w:val="18"/>
                <w:szCs w:val="18"/>
              </w:rPr>
              <w:t xml:space="preserve">enofovir alafenamide 25mg/emtricitabine 200mg </w:t>
            </w:r>
            <w:r>
              <w:rPr>
                <w:sz w:val="18"/>
                <w:szCs w:val="18"/>
              </w:rPr>
              <w:t xml:space="preserve">(Descovy) </w:t>
            </w:r>
            <w:r w:rsidR="00E46F64">
              <w:rPr>
                <w:sz w:val="18"/>
                <w:szCs w:val="18"/>
              </w:rPr>
              <w:t>once daily</w:t>
            </w:r>
          </w:p>
        </w:tc>
        <w:tc>
          <w:tcPr>
            <w:tcW w:w="1440" w:type="dxa"/>
          </w:tcPr>
          <w:p w:rsidR="00ED39FF" w:rsidRDefault="00E46F64" w:rsidP="00ED39FF">
            <w:pPr>
              <w:rPr>
                <w:sz w:val="18"/>
                <w:szCs w:val="18"/>
              </w:rPr>
            </w:pPr>
            <w:r>
              <w:rPr>
                <w:sz w:val="18"/>
                <w:szCs w:val="18"/>
              </w:rPr>
              <w:t>1 pill twice daily</w:t>
            </w:r>
          </w:p>
          <w:p w:rsidR="00E46F64" w:rsidRDefault="00E46F64" w:rsidP="00ED39FF">
            <w:pPr>
              <w:rPr>
                <w:sz w:val="18"/>
                <w:szCs w:val="18"/>
              </w:rPr>
            </w:pPr>
            <w:r>
              <w:rPr>
                <w:sz w:val="18"/>
                <w:szCs w:val="18"/>
              </w:rPr>
              <w:t>+</w:t>
            </w:r>
          </w:p>
          <w:p w:rsidR="00E46F64" w:rsidRPr="00ED39FF" w:rsidRDefault="00E46F64" w:rsidP="00ED39FF">
            <w:pPr>
              <w:rPr>
                <w:sz w:val="18"/>
                <w:szCs w:val="18"/>
              </w:rPr>
            </w:pPr>
            <w:r>
              <w:rPr>
                <w:sz w:val="18"/>
                <w:szCs w:val="18"/>
              </w:rPr>
              <w:t>1 pill once daily</w:t>
            </w:r>
          </w:p>
        </w:tc>
        <w:tc>
          <w:tcPr>
            <w:tcW w:w="1620" w:type="dxa"/>
          </w:tcPr>
          <w:p w:rsidR="006158D6" w:rsidRDefault="006158D6" w:rsidP="006158D6">
            <w:pPr>
              <w:rPr>
                <w:sz w:val="18"/>
                <w:szCs w:val="18"/>
              </w:rPr>
            </w:pPr>
            <w:r>
              <w:rPr>
                <w:sz w:val="18"/>
                <w:szCs w:val="18"/>
              </w:rPr>
              <w:t>-Rapid drop in viral load</w:t>
            </w:r>
          </w:p>
          <w:p w:rsidR="00ED39FF" w:rsidRPr="00ED39FF" w:rsidRDefault="006158D6" w:rsidP="00ED39FF">
            <w:pPr>
              <w:rPr>
                <w:sz w:val="18"/>
                <w:szCs w:val="18"/>
              </w:rPr>
            </w:pPr>
            <w:r>
              <w:rPr>
                <w:sz w:val="18"/>
                <w:szCs w:val="18"/>
              </w:rPr>
              <w:t>-Well tolerated</w:t>
            </w:r>
          </w:p>
        </w:tc>
        <w:tc>
          <w:tcPr>
            <w:tcW w:w="1818" w:type="dxa"/>
          </w:tcPr>
          <w:p w:rsidR="00ED39FF" w:rsidRPr="00ED39FF" w:rsidRDefault="006158D6" w:rsidP="00ED39FF">
            <w:pPr>
              <w:rPr>
                <w:sz w:val="18"/>
                <w:szCs w:val="18"/>
              </w:rPr>
            </w:pPr>
            <w:r>
              <w:rPr>
                <w:sz w:val="18"/>
                <w:szCs w:val="18"/>
              </w:rPr>
              <w:t>BID dosing</w:t>
            </w:r>
          </w:p>
        </w:tc>
      </w:tr>
      <w:tr w:rsidR="00ED39FF" w:rsidTr="006158D6">
        <w:tc>
          <w:tcPr>
            <w:tcW w:w="4698" w:type="dxa"/>
          </w:tcPr>
          <w:p w:rsidR="00ED39FF" w:rsidRPr="00ED39FF" w:rsidRDefault="00E46F64" w:rsidP="007C401D">
            <w:pPr>
              <w:rPr>
                <w:sz w:val="18"/>
                <w:szCs w:val="18"/>
              </w:rPr>
            </w:pPr>
            <w:r>
              <w:rPr>
                <w:sz w:val="18"/>
                <w:szCs w:val="18"/>
              </w:rPr>
              <w:t>Tenofovir alafenamide 25mg/emtricitabine 200mg/</w:t>
            </w:r>
            <w:r w:rsidR="006158D6">
              <w:rPr>
                <w:sz w:val="18"/>
                <w:szCs w:val="18"/>
              </w:rPr>
              <w:t xml:space="preserve"> e</w:t>
            </w:r>
            <w:r w:rsidR="007C401D">
              <w:rPr>
                <w:sz w:val="18"/>
                <w:szCs w:val="18"/>
              </w:rPr>
              <w:t>lv</w:t>
            </w:r>
            <w:r w:rsidR="006158D6">
              <w:rPr>
                <w:sz w:val="18"/>
                <w:szCs w:val="18"/>
              </w:rPr>
              <w:t>itegravir 150mg/cobicistat 150mg</w:t>
            </w:r>
            <w:r>
              <w:rPr>
                <w:sz w:val="18"/>
                <w:szCs w:val="18"/>
              </w:rPr>
              <w:t xml:space="preserve"> </w:t>
            </w:r>
            <w:r w:rsidR="00623AA0">
              <w:rPr>
                <w:sz w:val="18"/>
                <w:szCs w:val="18"/>
              </w:rPr>
              <w:t xml:space="preserve">(Genvoya) </w:t>
            </w:r>
            <w:r>
              <w:rPr>
                <w:sz w:val="18"/>
                <w:szCs w:val="18"/>
              </w:rPr>
              <w:t>once daily</w:t>
            </w:r>
          </w:p>
        </w:tc>
        <w:tc>
          <w:tcPr>
            <w:tcW w:w="1440" w:type="dxa"/>
          </w:tcPr>
          <w:p w:rsidR="00ED39FF" w:rsidRPr="00ED39FF" w:rsidRDefault="00E46F64" w:rsidP="00ED39FF">
            <w:pPr>
              <w:rPr>
                <w:sz w:val="18"/>
                <w:szCs w:val="18"/>
              </w:rPr>
            </w:pPr>
            <w:r>
              <w:rPr>
                <w:sz w:val="18"/>
                <w:szCs w:val="18"/>
              </w:rPr>
              <w:t>1 pill once daily</w:t>
            </w:r>
          </w:p>
        </w:tc>
        <w:tc>
          <w:tcPr>
            <w:tcW w:w="1620" w:type="dxa"/>
          </w:tcPr>
          <w:p w:rsidR="006158D6" w:rsidRDefault="006158D6" w:rsidP="006158D6">
            <w:pPr>
              <w:rPr>
                <w:sz w:val="18"/>
                <w:szCs w:val="18"/>
              </w:rPr>
            </w:pPr>
            <w:r>
              <w:rPr>
                <w:sz w:val="18"/>
                <w:szCs w:val="18"/>
              </w:rPr>
              <w:t>-Rapid drop in viral load</w:t>
            </w:r>
          </w:p>
          <w:p w:rsidR="006158D6" w:rsidRDefault="006158D6" w:rsidP="006158D6">
            <w:pPr>
              <w:rPr>
                <w:sz w:val="18"/>
                <w:szCs w:val="18"/>
              </w:rPr>
            </w:pPr>
            <w:r>
              <w:rPr>
                <w:sz w:val="18"/>
                <w:szCs w:val="18"/>
              </w:rPr>
              <w:t>-Once daily dosing</w:t>
            </w:r>
          </w:p>
          <w:p w:rsidR="00ED39FF" w:rsidRPr="00ED39FF" w:rsidRDefault="006158D6" w:rsidP="00ED39FF">
            <w:pPr>
              <w:rPr>
                <w:sz w:val="18"/>
                <w:szCs w:val="18"/>
              </w:rPr>
            </w:pPr>
            <w:r>
              <w:rPr>
                <w:sz w:val="18"/>
                <w:szCs w:val="18"/>
              </w:rPr>
              <w:t>-Lowest pill burden</w:t>
            </w:r>
          </w:p>
        </w:tc>
        <w:tc>
          <w:tcPr>
            <w:tcW w:w="1818" w:type="dxa"/>
          </w:tcPr>
          <w:p w:rsidR="00ED39FF" w:rsidRDefault="006158D6" w:rsidP="006158D6">
            <w:pPr>
              <w:rPr>
                <w:sz w:val="18"/>
                <w:szCs w:val="18"/>
              </w:rPr>
            </w:pPr>
            <w:r>
              <w:rPr>
                <w:sz w:val="18"/>
                <w:szCs w:val="18"/>
              </w:rPr>
              <w:t>Drug interactions (cobicistat a CYP3A4 inhibitor)</w:t>
            </w:r>
          </w:p>
          <w:p w:rsidR="006158D6" w:rsidRPr="00ED39FF" w:rsidRDefault="006158D6" w:rsidP="006158D6">
            <w:pPr>
              <w:rPr>
                <w:sz w:val="18"/>
                <w:szCs w:val="18"/>
              </w:rPr>
            </w:pPr>
            <w:r>
              <w:rPr>
                <w:sz w:val="18"/>
                <w:szCs w:val="18"/>
              </w:rPr>
              <w:t>-possibility of Integrase inhibitor and nucleoside drug resistance with failure seen in trials</w:t>
            </w:r>
          </w:p>
        </w:tc>
      </w:tr>
    </w:tbl>
    <w:p w:rsidR="00ED39FF" w:rsidRDefault="00ED39FF" w:rsidP="00ED39FF"/>
    <w:p w:rsidR="00ED39FF" w:rsidRPr="007C401D" w:rsidRDefault="006158D6" w:rsidP="006158D6">
      <w:pPr>
        <w:rPr>
          <w:b/>
        </w:rPr>
      </w:pPr>
      <w:r w:rsidRPr="007C401D">
        <w:rPr>
          <w:b/>
        </w:rPr>
        <w:lastRenderedPageBreak/>
        <w:t>Anti-HIV meds to avoid until results of resistance testing, HLA-B5701 are known:</w:t>
      </w:r>
    </w:p>
    <w:p w:rsidR="006158D6" w:rsidRDefault="006158D6" w:rsidP="006158D6">
      <w:pPr>
        <w:pStyle w:val="ListParagraph"/>
        <w:numPr>
          <w:ilvl w:val="0"/>
          <w:numId w:val="6"/>
        </w:numPr>
      </w:pPr>
      <w:r>
        <w:t xml:space="preserve">Non-Nucleoside Reverse </w:t>
      </w:r>
      <w:r w:rsidR="007C401D">
        <w:t>Transcriptase</w:t>
      </w:r>
      <w:r>
        <w:t xml:space="preserve"> Inhibitors (NNRTIs): This class </w:t>
      </w:r>
      <w:r w:rsidR="00623AA0">
        <w:t xml:space="preserve">is </w:t>
      </w:r>
      <w:r>
        <w:t>most associated with transmitted drug resistance</w:t>
      </w:r>
    </w:p>
    <w:p w:rsidR="006158D6" w:rsidRDefault="006158D6" w:rsidP="006158D6">
      <w:pPr>
        <w:pStyle w:val="ListParagraph"/>
        <w:numPr>
          <w:ilvl w:val="0"/>
          <w:numId w:val="6"/>
        </w:numPr>
      </w:pPr>
      <w:r>
        <w:t>Abacavir containing regimens: High risk of fatal abacavir hypersensitivity reaction if HLA-B5701+</w:t>
      </w:r>
    </w:p>
    <w:p w:rsidR="005100F6" w:rsidRPr="007C401D" w:rsidRDefault="005100F6" w:rsidP="005100F6">
      <w:pPr>
        <w:rPr>
          <w:b/>
        </w:rPr>
      </w:pPr>
      <w:r w:rsidRPr="007C401D">
        <w:rPr>
          <w:b/>
        </w:rPr>
        <w:t>Resources for Clinicians:</w:t>
      </w:r>
    </w:p>
    <w:p w:rsidR="005100F6" w:rsidRDefault="005100F6" w:rsidP="005100F6">
      <w:pPr>
        <w:pStyle w:val="ListParagraph"/>
        <w:numPr>
          <w:ilvl w:val="0"/>
          <w:numId w:val="7"/>
        </w:numPr>
      </w:pPr>
      <w:r>
        <w:t>CCRMC HIV specialists:</w:t>
      </w:r>
    </w:p>
    <w:p w:rsidR="007C401D" w:rsidRPr="005100F6" w:rsidRDefault="007C401D" w:rsidP="007C401D">
      <w:pPr>
        <w:pStyle w:val="ListParagraph"/>
        <w:numPr>
          <w:ilvl w:val="1"/>
          <w:numId w:val="7"/>
        </w:numPr>
      </w:pPr>
      <w:r w:rsidRPr="005100F6">
        <w:t>Judy Bliss 925-346-4286</w:t>
      </w:r>
    </w:p>
    <w:p w:rsidR="0097272B" w:rsidRPr="005100F6" w:rsidRDefault="007C401D" w:rsidP="005100F6">
      <w:pPr>
        <w:pStyle w:val="ListParagraph"/>
        <w:numPr>
          <w:ilvl w:val="1"/>
          <w:numId w:val="7"/>
        </w:numPr>
      </w:pPr>
      <w:r w:rsidRPr="005100F6">
        <w:t>Larry Boly 925-346-4254</w:t>
      </w:r>
    </w:p>
    <w:p w:rsidR="007C401D" w:rsidRPr="005100F6" w:rsidRDefault="007C401D" w:rsidP="007C401D">
      <w:pPr>
        <w:pStyle w:val="ListParagraph"/>
        <w:numPr>
          <w:ilvl w:val="1"/>
          <w:numId w:val="7"/>
        </w:numPr>
      </w:pPr>
      <w:r w:rsidRPr="005100F6">
        <w:t>Chris Farnitano 925-408-1547</w:t>
      </w:r>
    </w:p>
    <w:p w:rsidR="0097272B" w:rsidRDefault="007C401D" w:rsidP="005100F6">
      <w:pPr>
        <w:pStyle w:val="ListParagraph"/>
        <w:numPr>
          <w:ilvl w:val="1"/>
          <w:numId w:val="7"/>
        </w:numPr>
      </w:pPr>
      <w:r w:rsidRPr="005100F6">
        <w:t>Jamie Pehling 925-346-4734</w:t>
      </w:r>
    </w:p>
    <w:p w:rsidR="007C401D" w:rsidRDefault="007C401D" w:rsidP="007C401D">
      <w:pPr>
        <w:pStyle w:val="ListParagraph"/>
        <w:numPr>
          <w:ilvl w:val="1"/>
          <w:numId w:val="7"/>
        </w:numPr>
      </w:pPr>
      <w:r w:rsidRPr="005100F6">
        <w:t>Tony Pizzo 925-346-4102</w:t>
      </w:r>
    </w:p>
    <w:p w:rsidR="00E27BFE" w:rsidRDefault="00E27BFE" w:rsidP="007C401D">
      <w:pPr>
        <w:pStyle w:val="ListParagraph"/>
        <w:numPr>
          <w:ilvl w:val="1"/>
          <w:numId w:val="7"/>
        </w:numPr>
      </w:pPr>
      <w:r>
        <w:t>Daniel Moring-Parris</w:t>
      </w:r>
      <w:bookmarkStart w:id="0" w:name="_GoBack"/>
      <w:bookmarkEnd w:id="0"/>
      <w:r>
        <w:t xml:space="preserve"> 408-332-3681</w:t>
      </w:r>
    </w:p>
    <w:p w:rsidR="005100F6" w:rsidRPr="005100F6" w:rsidRDefault="005100F6" w:rsidP="005100F6">
      <w:pPr>
        <w:pStyle w:val="ListParagraph"/>
        <w:numPr>
          <w:ilvl w:val="0"/>
          <w:numId w:val="7"/>
        </w:numPr>
      </w:pPr>
      <w:r w:rsidRPr="005100F6">
        <w:t>HIV Warmline (UCSF HIV telephone consultation service)</w:t>
      </w:r>
      <w:r>
        <w:t xml:space="preserve"> 8AM-5PM M-F</w:t>
      </w:r>
      <w:r w:rsidRPr="005100F6">
        <w:t>: 800-933-3413</w:t>
      </w:r>
    </w:p>
    <w:p w:rsidR="00886764" w:rsidRDefault="00886764" w:rsidP="005100F6">
      <w:pPr>
        <w:pStyle w:val="ListParagraph"/>
        <w:ind w:left="1440"/>
      </w:pPr>
    </w:p>
    <w:sectPr w:rsidR="008867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62DC"/>
    <w:multiLevelType w:val="hybridMultilevel"/>
    <w:tmpl w:val="21D8A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E2258"/>
    <w:multiLevelType w:val="hybridMultilevel"/>
    <w:tmpl w:val="CF581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375DB"/>
    <w:multiLevelType w:val="hybridMultilevel"/>
    <w:tmpl w:val="D40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2E58B5"/>
    <w:multiLevelType w:val="hybridMultilevel"/>
    <w:tmpl w:val="7916C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1A70AE"/>
    <w:multiLevelType w:val="hybridMultilevel"/>
    <w:tmpl w:val="84541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A3B69"/>
    <w:multiLevelType w:val="hybridMultilevel"/>
    <w:tmpl w:val="F9664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F30228"/>
    <w:multiLevelType w:val="hybridMultilevel"/>
    <w:tmpl w:val="C97643BA"/>
    <w:lvl w:ilvl="0" w:tplc="A43AE418">
      <w:start w:val="1"/>
      <w:numFmt w:val="bullet"/>
      <w:lvlText w:val="◦"/>
      <w:lvlJc w:val="left"/>
      <w:pPr>
        <w:tabs>
          <w:tab w:val="num" w:pos="720"/>
        </w:tabs>
        <w:ind w:left="720" w:hanging="360"/>
      </w:pPr>
      <w:rPr>
        <w:rFonts w:ascii="Verdana" w:hAnsi="Verdana" w:hint="default"/>
      </w:rPr>
    </w:lvl>
    <w:lvl w:ilvl="1" w:tplc="0874C9D8">
      <w:start w:val="1"/>
      <w:numFmt w:val="bullet"/>
      <w:lvlText w:val="◦"/>
      <w:lvlJc w:val="left"/>
      <w:pPr>
        <w:tabs>
          <w:tab w:val="num" w:pos="1440"/>
        </w:tabs>
        <w:ind w:left="1440" w:hanging="360"/>
      </w:pPr>
      <w:rPr>
        <w:rFonts w:ascii="Verdana" w:hAnsi="Verdana" w:hint="default"/>
      </w:rPr>
    </w:lvl>
    <w:lvl w:ilvl="2" w:tplc="DB780F9A" w:tentative="1">
      <w:start w:val="1"/>
      <w:numFmt w:val="bullet"/>
      <w:lvlText w:val="◦"/>
      <w:lvlJc w:val="left"/>
      <w:pPr>
        <w:tabs>
          <w:tab w:val="num" w:pos="2160"/>
        </w:tabs>
        <w:ind w:left="2160" w:hanging="360"/>
      </w:pPr>
      <w:rPr>
        <w:rFonts w:ascii="Verdana" w:hAnsi="Verdana" w:hint="default"/>
      </w:rPr>
    </w:lvl>
    <w:lvl w:ilvl="3" w:tplc="CBCCD248" w:tentative="1">
      <w:start w:val="1"/>
      <w:numFmt w:val="bullet"/>
      <w:lvlText w:val="◦"/>
      <w:lvlJc w:val="left"/>
      <w:pPr>
        <w:tabs>
          <w:tab w:val="num" w:pos="2880"/>
        </w:tabs>
        <w:ind w:left="2880" w:hanging="360"/>
      </w:pPr>
      <w:rPr>
        <w:rFonts w:ascii="Verdana" w:hAnsi="Verdana" w:hint="default"/>
      </w:rPr>
    </w:lvl>
    <w:lvl w:ilvl="4" w:tplc="96943C8A" w:tentative="1">
      <w:start w:val="1"/>
      <w:numFmt w:val="bullet"/>
      <w:lvlText w:val="◦"/>
      <w:lvlJc w:val="left"/>
      <w:pPr>
        <w:tabs>
          <w:tab w:val="num" w:pos="3600"/>
        </w:tabs>
        <w:ind w:left="3600" w:hanging="360"/>
      </w:pPr>
      <w:rPr>
        <w:rFonts w:ascii="Verdana" w:hAnsi="Verdana" w:hint="default"/>
      </w:rPr>
    </w:lvl>
    <w:lvl w:ilvl="5" w:tplc="EF82F0B4" w:tentative="1">
      <w:start w:val="1"/>
      <w:numFmt w:val="bullet"/>
      <w:lvlText w:val="◦"/>
      <w:lvlJc w:val="left"/>
      <w:pPr>
        <w:tabs>
          <w:tab w:val="num" w:pos="4320"/>
        </w:tabs>
        <w:ind w:left="4320" w:hanging="360"/>
      </w:pPr>
      <w:rPr>
        <w:rFonts w:ascii="Verdana" w:hAnsi="Verdana" w:hint="default"/>
      </w:rPr>
    </w:lvl>
    <w:lvl w:ilvl="6" w:tplc="D95EA6AA" w:tentative="1">
      <w:start w:val="1"/>
      <w:numFmt w:val="bullet"/>
      <w:lvlText w:val="◦"/>
      <w:lvlJc w:val="left"/>
      <w:pPr>
        <w:tabs>
          <w:tab w:val="num" w:pos="5040"/>
        </w:tabs>
        <w:ind w:left="5040" w:hanging="360"/>
      </w:pPr>
      <w:rPr>
        <w:rFonts w:ascii="Verdana" w:hAnsi="Verdana" w:hint="default"/>
      </w:rPr>
    </w:lvl>
    <w:lvl w:ilvl="7" w:tplc="51185BF0" w:tentative="1">
      <w:start w:val="1"/>
      <w:numFmt w:val="bullet"/>
      <w:lvlText w:val="◦"/>
      <w:lvlJc w:val="left"/>
      <w:pPr>
        <w:tabs>
          <w:tab w:val="num" w:pos="5760"/>
        </w:tabs>
        <w:ind w:left="5760" w:hanging="360"/>
      </w:pPr>
      <w:rPr>
        <w:rFonts w:ascii="Verdana" w:hAnsi="Verdana" w:hint="default"/>
      </w:rPr>
    </w:lvl>
    <w:lvl w:ilvl="8" w:tplc="937435BA" w:tentative="1">
      <w:start w:val="1"/>
      <w:numFmt w:val="bullet"/>
      <w:lvlText w:val="◦"/>
      <w:lvlJc w:val="left"/>
      <w:pPr>
        <w:tabs>
          <w:tab w:val="num" w:pos="6480"/>
        </w:tabs>
        <w:ind w:left="6480" w:hanging="360"/>
      </w:pPr>
      <w:rPr>
        <w:rFonts w:ascii="Verdana" w:hAnsi="Verdana" w:hint="default"/>
      </w:rPr>
    </w:lvl>
  </w:abstractNum>
  <w:abstractNum w:abstractNumId="7">
    <w:nsid w:val="5BA6435D"/>
    <w:multiLevelType w:val="hybridMultilevel"/>
    <w:tmpl w:val="1310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3"/>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DC2"/>
    <w:rsid w:val="000E280E"/>
    <w:rsid w:val="000E4C0C"/>
    <w:rsid w:val="00153ACC"/>
    <w:rsid w:val="001A1146"/>
    <w:rsid w:val="001D525A"/>
    <w:rsid w:val="001F238A"/>
    <w:rsid w:val="00471EB7"/>
    <w:rsid w:val="005100F6"/>
    <w:rsid w:val="00593F59"/>
    <w:rsid w:val="006158D6"/>
    <w:rsid w:val="00623AA0"/>
    <w:rsid w:val="007C401D"/>
    <w:rsid w:val="007F1DC2"/>
    <w:rsid w:val="00886764"/>
    <w:rsid w:val="008F4FEF"/>
    <w:rsid w:val="0097272B"/>
    <w:rsid w:val="00A25604"/>
    <w:rsid w:val="00B524BE"/>
    <w:rsid w:val="00BA2DFB"/>
    <w:rsid w:val="00C442AB"/>
    <w:rsid w:val="00C74504"/>
    <w:rsid w:val="00C83F6A"/>
    <w:rsid w:val="00E27BFE"/>
    <w:rsid w:val="00E46F64"/>
    <w:rsid w:val="00ED39FF"/>
    <w:rsid w:val="00F01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DC2"/>
    <w:pPr>
      <w:ind w:left="720"/>
      <w:contextualSpacing/>
    </w:pPr>
  </w:style>
  <w:style w:type="table" w:styleId="TableGrid">
    <w:name w:val="Table Grid"/>
    <w:basedOn w:val="TableNormal"/>
    <w:uiPriority w:val="59"/>
    <w:rsid w:val="00ED3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A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DC2"/>
    <w:pPr>
      <w:ind w:left="720"/>
      <w:contextualSpacing/>
    </w:pPr>
  </w:style>
  <w:style w:type="table" w:styleId="TableGrid">
    <w:name w:val="Table Grid"/>
    <w:basedOn w:val="TableNormal"/>
    <w:uiPriority w:val="59"/>
    <w:rsid w:val="00ED3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A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506777">
      <w:bodyDiv w:val="1"/>
      <w:marLeft w:val="0"/>
      <w:marRight w:val="0"/>
      <w:marTop w:val="0"/>
      <w:marBottom w:val="0"/>
      <w:divBdr>
        <w:top w:val="none" w:sz="0" w:space="0" w:color="auto"/>
        <w:left w:val="none" w:sz="0" w:space="0" w:color="auto"/>
        <w:bottom w:val="none" w:sz="0" w:space="0" w:color="auto"/>
        <w:right w:val="none" w:sz="0" w:space="0" w:color="auto"/>
      </w:divBdr>
      <w:divsChild>
        <w:div w:id="814764389">
          <w:marLeft w:val="979"/>
          <w:marRight w:val="0"/>
          <w:marTop w:val="65"/>
          <w:marBottom w:val="0"/>
          <w:divBdr>
            <w:top w:val="none" w:sz="0" w:space="0" w:color="auto"/>
            <w:left w:val="none" w:sz="0" w:space="0" w:color="auto"/>
            <w:bottom w:val="none" w:sz="0" w:space="0" w:color="auto"/>
            <w:right w:val="none" w:sz="0" w:space="0" w:color="auto"/>
          </w:divBdr>
        </w:div>
        <w:div w:id="1559129165">
          <w:marLeft w:val="979"/>
          <w:marRight w:val="0"/>
          <w:marTop w:val="65"/>
          <w:marBottom w:val="0"/>
          <w:divBdr>
            <w:top w:val="none" w:sz="0" w:space="0" w:color="auto"/>
            <w:left w:val="none" w:sz="0" w:space="0" w:color="auto"/>
            <w:bottom w:val="none" w:sz="0" w:space="0" w:color="auto"/>
            <w:right w:val="none" w:sz="0" w:space="0" w:color="auto"/>
          </w:divBdr>
        </w:div>
        <w:div w:id="475102425">
          <w:marLeft w:val="979"/>
          <w:marRight w:val="0"/>
          <w:marTop w:val="65"/>
          <w:marBottom w:val="0"/>
          <w:divBdr>
            <w:top w:val="none" w:sz="0" w:space="0" w:color="auto"/>
            <w:left w:val="none" w:sz="0" w:space="0" w:color="auto"/>
            <w:bottom w:val="none" w:sz="0" w:space="0" w:color="auto"/>
            <w:right w:val="none" w:sz="0" w:space="0" w:color="auto"/>
          </w:divBdr>
        </w:div>
        <w:div w:id="2144808022">
          <w:marLeft w:val="979"/>
          <w:marRight w:val="0"/>
          <w:marTop w:val="65"/>
          <w:marBottom w:val="0"/>
          <w:divBdr>
            <w:top w:val="none" w:sz="0" w:space="0" w:color="auto"/>
            <w:left w:val="none" w:sz="0" w:space="0" w:color="auto"/>
            <w:bottom w:val="none" w:sz="0" w:space="0" w:color="auto"/>
            <w:right w:val="none" w:sz="0" w:space="0" w:color="auto"/>
          </w:divBdr>
        </w:div>
        <w:div w:id="1949970581">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Farnitano, M.D.</dc:creator>
  <cp:lastModifiedBy>Chris Farnitano, M.D.</cp:lastModifiedBy>
  <cp:revision>5</cp:revision>
  <cp:lastPrinted>2016-11-29T20:08:00Z</cp:lastPrinted>
  <dcterms:created xsi:type="dcterms:W3CDTF">2016-11-29T20:05:00Z</dcterms:created>
  <dcterms:modified xsi:type="dcterms:W3CDTF">2016-12-01T19:39:00Z</dcterms:modified>
</cp:coreProperties>
</file>