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DCDA42" w14:textId="77777777" w:rsidR="00821A02" w:rsidRPr="0046608A" w:rsidRDefault="00821A02" w:rsidP="00821A02">
      <w:pPr>
        <w:spacing w:line="240" w:lineRule="auto"/>
        <w:jc w:val="center"/>
        <w:rPr>
          <w:b/>
          <w:sz w:val="24"/>
          <w:szCs w:val="24"/>
        </w:rPr>
      </w:pPr>
      <w:bookmarkStart w:id="0" w:name="_GoBack"/>
      <w:bookmarkEnd w:id="0"/>
      <w:r w:rsidRPr="0046608A">
        <w:rPr>
          <w:b/>
          <w:sz w:val="24"/>
          <w:szCs w:val="24"/>
        </w:rPr>
        <w:t>Medication Adherence: A Provider’s Guide</w:t>
      </w:r>
    </w:p>
    <w:p w14:paraId="24ADDF1C" w14:textId="77777777" w:rsidR="007A5981" w:rsidRDefault="007A5981" w:rsidP="00821A02">
      <w:pPr>
        <w:spacing w:line="240" w:lineRule="auto"/>
      </w:pPr>
      <w:r>
        <w:t>“Adherence to medication regimens has been monitored since the time of Hippocrates, when the effects of various potions were recorded with notations of whether the patient had taken them or not.”</w:t>
      </w:r>
    </w:p>
    <w:p w14:paraId="27623B59" w14:textId="77777777" w:rsidR="00362C8D" w:rsidRDefault="00362C8D" w:rsidP="00821A02">
      <w:pPr>
        <w:spacing w:line="240" w:lineRule="auto"/>
      </w:pPr>
      <w:r>
        <w:t xml:space="preserve">“Drugs don’t work in patients who don’t take them.”  </w:t>
      </w:r>
    </w:p>
    <w:p w14:paraId="7A890D26" w14:textId="05EC4A15" w:rsidR="00362C8D" w:rsidRDefault="00362C8D" w:rsidP="00EA4FFE">
      <w:pPr>
        <w:spacing w:line="240" w:lineRule="auto"/>
        <w:ind w:left="720"/>
      </w:pPr>
      <w:r>
        <w:t>-  C. Everett Koop</w:t>
      </w:r>
    </w:p>
    <w:p w14:paraId="3D54F370" w14:textId="77777777" w:rsidR="000B4C45" w:rsidRPr="00D94D9A" w:rsidRDefault="000B4C45" w:rsidP="00EA4FFE">
      <w:pPr>
        <w:spacing w:line="240" w:lineRule="auto"/>
        <w:rPr>
          <w:b/>
        </w:rPr>
      </w:pPr>
      <w:r w:rsidRPr="00D94D9A">
        <w:rPr>
          <w:b/>
        </w:rPr>
        <w:t>What is it?</w:t>
      </w:r>
    </w:p>
    <w:p w14:paraId="7F0BE75A" w14:textId="77777777" w:rsidR="000B4C45" w:rsidRDefault="000B4C45" w:rsidP="00821A02">
      <w:pPr>
        <w:pStyle w:val="ListParagraph"/>
        <w:numPr>
          <w:ilvl w:val="0"/>
          <w:numId w:val="2"/>
        </w:numPr>
        <w:spacing w:line="240" w:lineRule="auto"/>
      </w:pPr>
      <w:r>
        <w:t>The extent to which patients take medications as prescribed by their health care providers</w:t>
      </w:r>
      <w:r w:rsidR="007A5981">
        <w:t>, often expressed as a percentage</w:t>
      </w:r>
    </w:p>
    <w:p w14:paraId="06B75578" w14:textId="77777777" w:rsidR="000B4C45" w:rsidRDefault="000B4C45" w:rsidP="00821A02">
      <w:pPr>
        <w:pStyle w:val="ListParagraph"/>
        <w:numPr>
          <w:ilvl w:val="0"/>
          <w:numId w:val="2"/>
        </w:numPr>
        <w:spacing w:line="240" w:lineRule="auto"/>
      </w:pPr>
      <w:r>
        <w:t>Treatment plan should be based on a therapeutic alliance between patient and provider</w:t>
      </w:r>
    </w:p>
    <w:p w14:paraId="4256941E" w14:textId="77777777" w:rsidR="000B4C45" w:rsidRPr="00D94D9A" w:rsidRDefault="000B4C45" w:rsidP="00821A02">
      <w:pPr>
        <w:spacing w:line="240" w:lineRule="auto"/>
        <w:rPr>
          <w:b/>
        </w:rPr>
      </w:pPr>
      <w:r w:rsidRPr="00D94D9A">
        <w:rPr>
          <w:b/>
        </w:rPr>
        <w:t>Why do we care?</w:t>
      </w:r>
    </w:p>
    <w:p w14:paraId="0E7D0D3B" w14:textId="03F26CDD" w:rsidR="000B4C45" w:rsidRDefault="00800F18" w:rsidP="00821A02">
      <w:pPr>
        <w:pStyle w:val="ListParagraph"/>
        <w:numPr>
          <w:ilvl w:val="0"/>
          <w:numId w:val="3"/>
        </w:numPr>
        <w:spacing w:line="240" w:lineRule="auto"/>
      </w:pPr>
      <w:r>
        <w:t>According to the AAFP, 6 out of 10 patients do not take their medications as prescribed by their physicians</w:t>
      </w:r>
    </w:p>
    <w:p w14:paraId="47F1024F" w14:textId="35D4E3E0" w:rsidR="00800F18" w:rsidRDefault="00800F18" w:rsidP="00821A02">
      <w:pPr>
        <w:pStyle w:val="ListParagraph"/>
        <w:numPr>
          <w:ilvl w:val="0"/>
          <w:numId w:val="3"/>
        </w:numPr>
        <w:spacing w:line="240" w:lineRule="auto"/>
      </w:pPr>
      <w:r>
        <w:t>Patients with multiple chronic medical problems have the lowest adherence rates</w:t>
      </w:r>
    </w:p>
    <w:p w14:paraId="6E714B1A" w14:textId="77777777" w:rsidR="000B4C45" w:rsidRDefault="000B4C45" w:rsidP="00821A02">
      <w:pPr>
        <w:pStyle w:val="ListParagraph"/>
        <w:numPr>
          <w:ilvl w:val="0"/>
          <w:numId w:val="3"/>
        </w:numPr>
        <w:spacing w:line="240" w:lineRule="auto"/>
      </w:pPr>
      <w:r>
        <w:t>Poor adherence accounts for increased morbidity, mortality, and health care costs in the United States</w:t>
      </w:r>
    </w:p>
    <w:p w14:paraId="0E74296D" w14:textId="5BF5F607" w:rsidR="00EA4FFE" w:rsidRDefault="00EA4FFE" w:rsidP="00EA4FFE">
      <w:pPr>
        <w:pStyle w:val="ListParagraph"/>
        <w:numPr>
          <w:ilvl w:val="1"/>
          <w:numId w:val="3"/>
        </w:numPr>
        <w:spacing w:line="240" w:lineRule="auto"/>
      </w:pPr>
      <w:r>
        <w:t>125,000 Americans die annually due to poor medication adherence</w:t>
      </w:r>
    </w:p>
    <w:p w14:paraId="5A7B0DBD" w14:textId="67FF10E8" w:rsidR="00D94D9A" w:rsidRDefault="00D94D9A" w:rsidP="00D94D9A">
      <w:pPr>
        <w:pStyle w:val="ListParagraph"/>
        <w:numPr>
          <w:ilvl w:val="1"/>
          <w:numId w:val="3"/>
        </w:numPr>
        <w:spacing w:line="240" w:lineRule="auto"/>
      </w:pPr>
      <w:r>
        <w:t>The NEHI estimates improved adherence could result in $290 billion annually in cost reductions or 13% of total health care spending</w:t>
      </w:r>
    </w:p>
    <w:p w14:paraId="0B5B06E8" w14:textId="77777777" w:rsidR="00821A02" w:rsidRPr="00D94D9A" w:rsidRDefault="00821A02" w:rsidP="00821A02">
      <w:pPr>
        <w:spacing w:line="240" w:lineRule="auto"/>
        <w:rPr>
          <w:b/>
        </w:rPr>
      </w:pPr>
      <w:r w:rsidRPr="00D94D9A">
        <w:rPr>
          <w:b/>
        </w:rPr>
        <w:t>Who is at risk?</w:t>
      </w:r>
    </w:p>
    <w:p w14:paraId="3E249978" w14:textId="77777777" w:rsidR="00821A02" w:rsidRDefault="00821A02" w:rsidP="00821A02">
      <w:pPr>
        <w:pStyle w:val="ListParagraph"/>
        <w:numPr>
          <w:ilvl w:val="0"/>
          <w:numId w:val="6"/>
        </w:numPr>
        <w:spacing w:line="240" w:lineRule="auto"/>
        <w:ind w:left="1080"/>
      </w:pPr>
      <w:r>
        <w:t>Psych dx (particularly depression) or cognitive impairment</w:t>
      </w:r>
    </w:p>
    <w:p w14:paraId="3B268F49" w14:textId="77777777" w:rsidR="00D94D9A" w:rsidRDefault="00423EFA" w:rsidP="00821A02">
      <w:pPr>
        <w:pStyle w:val="ListParagraph"/>
        <w:numPr>
          <w:ilvl w:val="0"/>
          <w:numId w:val="6"/>
        </w:numPr>
        <w:spacing w:line="240" w:lineRule="auto"/>
        <w:ind w:left="1080"/>
      </w:pPr>
      <w:r>
        <w:t xml:space="preserve">Complicated and/or </w:t>
      </w:r>
      <w:r w:rsidR="00D94D9A">
        <w:t xml:space="preserve">costly </w:t>
      </w:r>
      <w:r w:rsidR="00821A02">
        <w:t>regimens</w:t>
      </w:r>
    </w:p>
    <w:p w14:paraId="1D206A5C" w14:textId="11894725" w:rsidR="00821A02" w:rsidRDefault="00D94D9A" w:rsidP="00821A02">
      <w:pPr>
        <w:pStyle w:val="ListParagraph"/>
        <w:numPr>
          <w:ilvl w:val="0"/>
          <w:numId w:val="6"/>
        </w:numPr>
        <w:spacing w:line="240" w:lineRule="auto"/>
        <w:ind w:left="1080"/>
      </w:pPr>
      <w:r>
        <w:t xml:space="preserve">Regimens containing medications with </w:t>
      </w:r>
      <w:r w:rsidR="00423EFA">
        <w:t>significant side effects</w:t>
      </w:r>
    </w:p>
    <w:p w14:paraId="7F9D161F" w14:textId="77777777" w:rsidR="00821A02" w:rsidRDefault="00821A02" w:rsidP="00821A02">
      <w:pPr>
        <w:pStyle w:val="ListParagraph"/>
        <w:numPr>
          <w:ilvl w:val="0"/>
          <w:numId w:val="6"/>
        </w:numPr>
        <w:spacing w:line="240" w:lineRule="auto"/>
        <w:ind w:left="1080"/>
      </w:pPr>
      <w:r>
        <w:t>Poor insight into disease and understanding of treatment importance</w:t>
      </w:r>
    </w:p>
    <w:p w14:paraId="4866A723" w14:textId="77777777" w:rsidR="00821A02" w:rsidRDefault="00821A02" w:rsidP="00821A02">
      <w:pPr>
        <w:pStyle w:val="ListParagraph"/>
        <w:numPr>
          <w:ilvl w:val="0"/>
          <w:numId w:val="6"/>
        </w:numPr>
        <w:spacing w:line="240" w:lineRule="auto"/>
        <w:ind w:left="1080"/>
      </w:pPr>
      <w:r>
        <w:t>Chronic, asymptomatic disease</w:t>
      </w:r>
    </w:p>
    <w:p w14:paraId="2526B791" w14:textId="77777777" w:rsidR="00821A02" w:rsidRDefault="00821A02" w:rsidP="00821A02">
      <w:pPr>
        <w:pStyle w:val="ListParagraph"/>
        <w:numPr>
          <w:ilvl w:val="0"/>
          <w:numId w:val="6"/>
        </w:numPr>
        <w:spacing w:line="240" w:lineRule="auto"/>
        <w:ind w:left="1080"/>
      </w:pPr>
      <w:r>
        <w:t>History of poor compliance</w:t>
      </w:r>
    </w:p>
    <w:p w14:paraId="595D04F3" w14:textId="77777777" w:rsidR="006C1DE6" w:rsidRPr="00D94D9A" w:rsidRDefault="000B4C45" w:rsidP="00821A02">
      <w:pPr>
        <w:spacing w:line="240" w:lineRule="auto"/>
        <w:rPr>
          <w:b/>
        </w:rPr>
      </w:pPr>
      <w:r w:rsidRPr="00D94D9A">
        <w:rPr>
          <w:b/>
        </w:rPr>
        <w:t>What can we do?</w:t>
      </w:r>
    </w:p>
    <w:p w14:paraId="210BA435" w14:textId="65CBCE9E" w:rsidR="00042E7D" w:rsidRDefault="00042E7D" w:rsidP="00821A02">
      <w:pPr>
        <w:pStyle w:val="ListParagraph"/>
        <w:numPr>
          <w:ilvl w:val="0"/>
          <w:numId w:val="5"/>
        </w:numPr>
        <w:spacing w:line="240" w:lineRule="auto"/>
      </w:pPr>
      <w:r>
        <w:t>I</w:t>
      </w:r>
      <w:r w:rsidRPr="00800F18">
        <w:rPr>
          <w:u w:val="single"/>
        </w:rPr>
        <w:t>dentify</w:t>
      </w:r>
      <w:r>
        <w:t xml:space="preserve"> </w:t>
      </w:r>
      <w:r w:rsidR="00800F18">
        <w:t xml:space="preserve">non-adherence </w:t>
      </w:r>
      <w:r>
        <w:t>via patient interactions, refill rates, and clinical assessment</w:t>
      </w:r>
    </w:p>
    <w:p w14:paraId="6093BEDC" w14:textId="20527C17" w:rsidR="006C1DE6" w:rsidRDefault="006C1DE6" w:rsidP="00821A02">
      <w:pPr>
        <w:pStyle w:val="ListParagraph"/>
        <w:numPr>
          <w:ilvl w:val="0"/>
          <w:numId w:val="5"/>
        </w:numPr>
        <w:spacing w:line="240" w:lineRule="auto"/>
      </w:pPr>
      <w:r w:rsidRPr="00800F18">
        <w:rPr>
          <w:u w:val="single"/>
        </w:rPr>
        <w:t xml:space="preserve">Elicit </w:t>
      </w:r>
      <w:r>
        <w:t>feelings about</w:t>
      </w:r>
      <w:r w:rsidR="00821A02">
        <w:t xml:space="preserve"> patient’s ability to follow his or her</w:t>
      </w:r>
      <w:r>
        <w:t xml:space="preserve"> regimen, barriers to adherence, and </w:t>
      </w:r>
      <w:r w:rsidR="00DE5F89">
        <w:t>potential improvements</w:t>
      </w:r>
    </w:p>
    <w:p w14:paraId="1F0DDCEF" w14:textId="77777777" w:rsidR="006C1DE6" w:rsidRDefault="006C1DE6" w:rsidP="00821A02">
      <w:pPr>
        <w:pStyle w:val="ListParagraph"/>
        <w:numPr>
          <w:ilvl w:val="0"/>
          <w:numId w:val="5"/>
        </w:numPr>
        <w:spacing w:line="240" w:lineRule="auto"/>
      </w:pPr>
      <w:r w:rsidRPr="00800F18">
        <w:rPr>
          <w:u w:val="single"/>
        </w:rPr>
        <w:t>Inform</w:t>
      </w:r>
      <w:r>
        <w:t xml:space="preserve"> of value of regimen and importance of adherence</w:t>
      </w:r>
    </w:p>
    <w:p w14:paraId="71E17C96" w14:textId="1CDA073D" w:rsidR="006C1DE6" w:rsidRDefault="006C1DE6" w:rsidP="00821A02">
      <w:pPr>
        <w:pStyle w:val="ListParagraph"/>
        <w:numPr>
          <w:ilvl w:val="0"/>
          <w:numId w:val="5"/>
        </w:numPr>
        <w:spacing w:line="240" w:lineRule="auto"/>
      </w:pPr>
      <w:r w:rsidRPr="00800F18">
        <w:rPr>
          <w:u w:val="single"/>
        </w:rPr>
        <w:t>Simplify</w:t>
      </w:r>
      <w:r>
        <w:t xml:space="preserve"> </w:t>
      </w:r>
      <w:r w:rsidR="00821A02">
        <w:t xml:space="preserve">and reduce cost of </w:t>
      </w:r>
      <w:r>
        <w:t>regimen as much as possible via once-a-day dosing, combination pills, blister packs</w:t>
      </w:r>
      <w:r w:rsidR="0046608A">
        <w:t xml:space="preserve"> (</w:t>
      </w:r>
      <w:hyperlink r:id="rId6" w:history="1">
        <w:r w:rsidR="0046608A" w:rsidRPr="0046608A">
          <w:rPr>
            <w:rStyle w:val="Hyperlink"/>
          </w:rPr>
          <w:t>BACON EAST</w:t>
        </w:r>
      </w:hyperlink>
      <w:r w:rsidR="0046608A">
        <w:t>)</w:t>
      </w:r>
      <w:r w:rsidR="00821A02">
        <w:t>, discount programs, formulary prescribing</w:t>
      </w:r>
    </w:p>
    <w:p w14:paraId="7275766F" w14:textId="5C940C70" w:rsidR="006C1DE6" w:rsidRDefault="006C1DE6" w:rsidP="00821A02">
      <w:pPr>
        <w:pStyle w:val="ListParagraph"/>
        <w:numPr>
          <w:ilvl w:val="0"/>
          <w:numId w:val="5"/>
        </w:numPr>
        <w:spacing w:line="240" w:lineRule="auto"/>
      </w:pPr>
      <w:r w:rsidRPr="00800F18">
        <w:rPr>
          <w:u w:val="single"/>
        </w:rPr>
        <w:t>Mobilize</w:t>
      </w:r>
      <w:r>
        <w:t xml:space="preserve"> family, friends, and use of community resources (i.e. treatment nurse, resource nurse, </w:t>
      </w:r>
      <w:r w:rsidR="00800F18">
        <w:t xml:space="preserve">LVN, </w:t>
      </w:r>
      <w:r>
        <w:t>etc.)</w:t>
      </w:r>
    </w:p>
    <w:p w14:paraId="21F8C7B1" w14:textId="70D901D4" w:rsidR="00DE5F89" w:rsidRDefault="00DE5F89" w:rsidP="00821A02">
      <w:pPr>
        <w:pStyle w:val="ListParagraph"/>
        <w:numPr>
          <w:ilvl w:val="0"/>
          <w:numId w:val="5"/>
        </w:numPr>
        <w:spacing w:line="240" w:lineRule="auto"/>
      </w:pPr>
      <w:r>
        <w:rPr>
          <w:u w:val="single"/>
        </w:rPr>
        <w:t>Technologize</w:t>
      </w:r>
      <w:r>
        <w:t xml:space="preserve"> using phone apps, electronic reminders, and other innovations as they become available to the mainstream </w:t>
      </w:r>
    </w:p>
    <w:p w14:paraId="1F4D688D" w14:textId="77777777" w:rsidR="006C1DE6" w:rsidRDefault="006C1DE6" w:rsidP="00821A02">
      <w:pPr>
        <w:pStyle w:val="ListParagraph"/>
        <w:numPr>
          <w:ilvl w:val="0"/>
          <w:numId w:val="5"/>
        </w:numPr>
        <w:spacing w:line="240" w:lineRule="auto"/>
      </w:pPr>
      <w:r w:rsidRPr="00800F18">
        <w:rPr>
          <w:u w:val="single"/>
        </w:rPr>
        <w:t>Reinforce</w:t>
      </w:r>
      <w:r>
        <w:t xml:space="preserve"> desirable behaviors</w:t>
      </w:r>
    </w:p>
    <w:p w14:paraId="01DEE2FB" w14:textId="77777777" w:rsidR="00224EB6" w:rsidRDefault="00224EB6" w:rsidP="00C515B9">
      <w:pPr>
        <w:rPr>
          <w:b/>
          <w:sz w:val="24"/>
          <w:szCs w:val="24"/>
        </w:rPr>
      </w:pPr>
    </w:p>
    <w:p w14:paraId="19D091A1" w14:textId="716F987D" w:rsidR="00224EB6" w:rsidRPr="0046608A" w:rsidRDefault="0078273A" w:rsidP="00C515B9">
      <w:pPr>
        <w:rPr>
          <w:b/>
          <w:sz w:val="24"/>
          <w:szCs w:val="24"/>
        </w:rPr>
      </w:pPr>
      <w:r w:rsidRPr="0046608A">
        <w:rPr>
          <w:b/>
          <w:sz w:val="24"/>
          <w:szCs w:val="24"/>
        </w:rPr>
        <w:lastRenderedPageBreak/>
        <w:t xml:space="preserve">Provider </w:t>
      </w:r>
      <w:r w:rsidR="00C515B9" w:rsidRPr="0046608A">
        <w:rPr>
          <w:b/>
          <w:sz w:val="24"/>
          <w:szCs w:val="24"/>
        </w:rPr>
        <w:t>Resources:</w:t>
      </w:r>
    </w:p>
    <w:p w14:paraId="0DD15149" w14:textId="44FBBE1E" w:rsidR="00362C8D" w:rsidRDefault="00E547DB" w:rsidP="00800F18">
      <w:pPr>
        <w:spacing w:line="240" w:lineRule="auto"/>
      </w:pPr>
      <w:hyperlink r:id="rId7" w:history="1">
        <w:r w:rsidR="00362C8D" w:rsidRPr="00362C8D">
          <w:rPr>
            <w:rStyle w:val="Hyperlink"/>
          </w:rPr>
          <w:t>Prescriptions for a Healthy America</w:t>
        </w:r>
      </w:hyperlink>
      <w:r w:rsidR="00362C8D">
        <w:t>: Coalition including the AAFP charged with raising awareness and advancing public policy in the area of medication non-adherence</w:t>
      </w:r>
      <w:r w:rsidR="00143D27">
        <w:t>. Web</w:t>
      </w:r>
      <w:r w:rsidR="00DE5F89">
        <w:t xml:space="preserve">site has </w:t>
      </w:r>
      <w:r w:rsidR="00143D27">
        <w:t>a list of</w:t>
      </w:r>
      <w:r w:rsidR="00DE5F89">
        <w:t xml:space="preserve"> provider resources.</w:t>
      </w:r>
    </w:p>
    <w:p w14:paraId="13F567C8" w14:textId="32280D40" w:rsidR="005E338E" w:rsidRPr="005E338E" w:rsidRDefault="005E338E" w:rsidP="00800F18">
      <w:pPr>
        <w:spacing w:line="240" w:lineRule="auto"/>
      </w:pPr>
      <w:proofErr w:type="spellStart"/>
      <w:proofErr w:type="gramStart"/>
      <w:r>
        <w:t>Osterberg</w:t>
      </w:r>
      <w:proofErr w:type="spellEnd"/>
      <w:r>
        <w:t xml:space="preserve"> L and </w:t>
      </w:r>
      <w:proofErr w:type="spellStart"/>
      <w:r>
        <w:t>Blaschke</w:t>
      </w:r>
      <w:proofErr w:type="spellEnd"/>
      <w:r>
        <w:t xml:space="preserve"> T. Adherence to Medication.</w:t>
      </w:r>
      <w:proofErr w:type="gramEnd"/>
      <w:r>
        <w:t xml:space="preserve"> </w:t>
      </w:r>
      <w:r>
        <w:rPr>
          <w:i/>
        </w:rPr>
        <w:t>NEJM</w:t>
      </w:r>
      <w:r>
        <w:t xml:space="preserve"> 2005</w:t>
      </w:r>
      <w:proofErr w:type="gramStart"/>
      <w:r>
        <w:t>;353</w:t>
      </w:r>
      <w:proofErr w:type="gramEnd"/>
      <w:r>
        <w:t>: 487-97</w:t>
      </w:r>
    </w:p>
    <w:p w14:paraId="7A5BC088" w14:textId="2CF627E7" w:rsidR="00B94AA1" w:rsidRDefault="00E547DB" w:rsidP="00800F18">
      <w:pPr>
        <w:spacing w:line="240" w:lineRule="auto"/>
        <w:rPr>
          <w:rStyle w:val="Hyperlink"/>
        </w:rPr>
      </w:pPr>
      <w:hyperlink r:id="rId8" w:history="1">
        <w:r w:rsidR="005E338E" w:rsidRPr="005E338E">
          <w:rPr>
            <w:rStyle w:val="Hyperlink"/>
          </w:rPr>
          <w:t>WHO Report on Adherence to Long-term Therapies</w:t>
        </w:r>
      </w:hyperlink>
    </w:p>
    <w:p w14:paraId="454F3B99" w14:textId="29CAC685" w:rsidR="00222E63" w:rsidRDefault="00E547DB" w:rsidP="00800F18">
      <w:pPr>
        <w:spacing w:line="240" w:lineRule="auto"/>
        <w:rPr>
          <w:rStyle w:val="Hyperlink"/>
        </w:rPr>
      </w:pPr>
      <w:hyperlink r:id="rId9" w:history="1">
        <w:r w:rsidR="003F2A35">
          <w:rPr>
            <w:rStyle w:val="Hyperlink"/>
          </w:rPr>
          <w:t>List of Related</w:t>
        </w:r>
        <w:r w:rsidR="00222E63" w:rsidRPr="00222E63">
          <w:rPr>
            <w:rStyle w:val="Hyperlink"/>
          </w:rPr>
          <w:t xml:space="preserve"> </w:t>
        </w:r>
        <w:r w:rsidR="00222E63">
          <w:rPr>
            <w:rStyle w:val="Hyperlink"/>
          </w:rPr>
          <w:t xml:space="preserve">Phone </w:t>
        </w:r>
        <w:r w:rsidR="00222E63" w:rsidRPr="00222E63">
          <w:rPr>
            <w:rStyle w:val="Hyperlink"/>
          </w:rPr>
          <w:t>Apps</w:t>
        </w:r>
      </w:hyperlink>
    </w:p>
    <w:p w14:paraId="6D33A8FA" w14:textId="2BECA84F" w:rsidR="00C515B9" w:rsidRDefault="00E547DB" w:rsidP="00800F18">
      <w:pPr>
        <w:spacing w:line="240" w:lineRule="auto"/>
        <w:rPr>
          <w:rStyle w:val="Hyperlink"/>
        </w:rPr>
      </w:pPr>
      <w:hyperlink r:id="rId10" w:history="1">
        <w:r w:rsidR="00C515B9" w:rsidRPr="00C515B9">
          <w:rPr>
            <w:rStyle w:val="Hyperlink"/>
          </w:rPr>
          <w:t xml:space="preserve">List of </w:t>
        </w:r>
        <w:r w:rsidR="00362C8D">
          <w:rPr>
            <w:rStyle w:val="Hyperlink"/>
          </w:rPr>
          <w:t xml:space="preserve">all FDA-approved </w:t>
        </w:r>
        <w:r w:rsidR="00C515B9" w:rsidRPr="00C515B9">
          <w:rPr>
            <w:rStyle w:val="Hyperlink"/>
          </w:rPr>
          <w:t>Combination Drugs</w:t>
        </w:r>
      </w:hyperlink>
      <w:r w:rsidR="00800F18">
        <w:rPr>
          <w:rStyle w:val="Hyperlink"/>
        </w:rPr>
        <w:t xml:space="preserve"> </w:t>
      </w:r>
    </w:p>
    <w:p w14:paraId="46EC8763" w14:textId="6B677CFB" w:rsidR="00800F18" w:rsidRDefault="00E547DB" w:rsidP="00800F18">
      <w:pPr>
        <w:spacing w:line="240" w:lineRule="auto"/>
        <w:rPr>
          <w:rStyle w:val="Hyperlink"/>
        </w:rPr>
      </w:pPr>
      <w:hyperlink r:id="rId11" w:history="1">
        <w:r w:rsidR="00800F18">
          <w:rPr>
            <w:rStyle w:val="Hyperlink"/>
          </w:rPr>
          <w:t>CCHP</w:t>
        </w:r>
        <w:r w:rsidR="00800F18" w:rsidRPr="00800F18">
          <w:rPr>
            <w:rStyle w:val="Hyperlink"/>
          </w:rPr>
          <w:t xml:space="preserve"> Preferred Drug List</w:t>
        </w:r>
      </w:hyperlink>
      <w:r w:rsidR="00800F18">
        <w:rPr>
          <w:rStyle w:val="Hyperlink"/>
        </w:rPr>
        <w:t xml:space="preserve"> </w:t>
      </w:r>
    </w:p>
    <w:p w14:paraId="6AA23210" w14:textId="2798F442" w:rsidR="00800F18" w:rsidRDefault="00E547DB" w:rsidP="00800F18">
      <w:pPr>
        <w:spacing w:line="240" w:lineRule="auto"/>
      </w:pPr>
      <w:hyperlink r:id="rId12" w:history="1">
        <w:proofErr w:type="spellStart"/>
        <w:r w:rsidR="00362C8D">
          <w:rPr>
            <w:rStyle w:val="Hyperlink"/>
          </w:rPr>
          <w:t>Medi</w:t>
        </w:r>
        <w:proofErr w:type="spellEnd"/>
        <w:r w:rsidR="00362C8D">
          <w:rPr>
            <w:rStyle w:val="Hyperlink"/>
          </w:rPr>
          <w:t>-C</w:t>
        </w:r>
        <w:r w:rsidR="00800F18" w:rsidRPr="00800F18">
          <w:rPr>
            <w:rStyle w:val="Hyperlink"/>
          </w:rPr>
          <w:t>al Preferred Drug List</w:t>
        </w:r>
      </w:hyperlink>
    </w:p>
    <w:p w14:paraId="71E674C2" w14:textId="77777777" w:rsidR="000B4C45" w:rsidRDefault="000B4C45" w:rsidP="00800F18">
      <w:pPr>
        <w:spacing w:line="240" w:lineRule="auto"/>
      </w:pPr>
    </w:p>
    <w:p w14:paraId="0139563B" w14:textId="0FADB475" w:rsidR="00DA25A0" w:rsidRPr="00643FC7" w:rsidRDefault="00DA25A0" w:rsidP="00800F18">
      <w:pPr>
        <w:spacing w:line="240" w:lineRule="auto"/>
        <w:rPr>
          <w:b/>
          <w:sz w:val="24"/>
          <w:szCs w:val="24"/>
        </w:rPr>
      </w:pPr>
      <w:r w:rsidRPr="00643FC7">
        <w:rPr>
          <w:b/>
          <w:sz w:val="24"/>
          <w:szCs w:val="24"/>
        </w:rPr>
        <w:t>Community Resources</w:t>
      </w:r>
    </w:p>
    <w:p w14:paraId="6E9A98EE" w14:textId="116E3745" w:rsidR="00DA25A0" w:rsidRPr="00DA25A0" w:rsidRDefault="00DA25A0" w:rsidP="00DA25A0">
      <w:pPr>
        <w:pStyle w:val="Default"/>
        <w:rPr>
          <w:rFonts w:asciiTheme="minorHAnsi" w:hAnsiTheme="minorHAnsi" w:cs="Times New Roman"/>
          <w:sz w:val="22"/>
          <w:szCs w:val="22"/>
        </w:rPr>
      </w:pPr>
      <w:r w:rsidRPr="00DA25A0">
        <w:rPr>
          <w:rFonts w:asciiTheme="minorHAnsi" w:hAnsiTheme="minorHAnsi"/>
          <w:b/>
          <w:bCs/>
          <w:sz w:val="22"/>
          <w:szCs w:val="22"/>
        </w:rPr>
        <w:t xml:space="preserve">Coast2Coast Rx Card </w:t>
      </w:r>
      <w:r w:rsidRPr="00DA25A0">
        <w:rPr>
          <w:rFonts w:asciiTheme="minorHAnsi" w:hAnsiTheme="minorHAnsi"/>
          <w:sz w:val="22"/>
          <w:szCs w:val="22"/>
        </w:rPr>
        <w:t xml:space="preserve"> </w:t>
      </w:r>
      <w:r w:rsidR="00643FC7">
        <w:rPr>
          <w:rFonts w:asciiTheme="minorHAnsi" w:hAnsiTheme="minorHAnsi"/>
          <w:sz w:val="22"/>
          <w:szCs w:val="22"/>
        </w:rPr>
        <w:t xml:space="preserve"> (</w:t>
      </w:r>
      <w:r w:rsidRPr="00DA25A0">
        <w:rPr>
          <w:rFonts w:asciiTheme="minorHAnsi" w:hAnsiTheme="minorHAnsi" w:cs="Times New Roman"/>
          <w:sz w:val="22"/>
          <w:szCs w:val="22"/>
        </w:rPr>
        <w:t>1-800-931-8872</w:t>
      </w:r>
      <w:r w:rsidR="00643FC7">
        <w:rPr>
          <w:rFonts w:asciiTheme="minorHAnsi" w:hAnsiTheme="minorHAnsi" w:cs="Times New Roman"/>
          <w:sz w:val="22"/>
          <w:szCs w:val="22"/>
        </w:rPr>
        <w:t>)</w:t>
      </w:r>
      <w:r w:rsidRPr="00DA25A0">
        <w:rPr>
          <w:rFonts w:asciiTheme="minorHAnsi" w:hAnsiTheme="minorHAnsi" w:cs="Times New Roman"/>
          <w:sz w:val="22"/>
          <w:szCs w:val="22"/>
        </w:rPr>
        <w:t xml:space="preserve"> </w:t>
      </w:r>
    </w:p>
    <w:p w14:paraId="3BE9D135" w14:textId="77777777" w:rsidR="00DA25A0" w:rsidRPr="00DA25A0" w:rsidRDefault="00DA25A0" w:rsidP="00DA25A0">
      <w:pPr>
        <w:pStyle w:val="Default"/>
        <w:rPr>
          <w:rFonts w:asciiTheme="minorHAnsi" w:hAnsiTheme="minorHAnsi" w:cs="Times New Roman"/>
          <w:sz w:val="22"/>
          <w:szCs w:val="22"/>
        </w:rPr>
      </w:pPr>
      <w:r w:rsidRPr="00DA25A0">
        <w:rPr>
          <w:rFonts w:asciiTheme="minorHAnsi" w:hAnsiTheme="minorHAnsi" w:cs="Times New Roman"/>
          <w:sz w:val="22"/>
          <w:szCs w:val="22"/>
        </w:rPr>
        <w:t xml:space="preserve">Provides discounted prescription card which may lower the price of prescription drugs. </w:t>
      </w:r>
      <w:proofErr w:type="gramStart"/>
      <w:r w:rsidRPr="00DA25A0">
        <w:rPr>
          <w:rFonts w:asciiTheme="minorHAnsi" w:hAnsiTheme="minorHAnsi" w:cs="Times New Roman"/>
          <w:sz w:val="22"/>
          <w:szCs w:val="22"/>
        </w:rPr>
        <w:t>Available at most libraries, hospitals and participating pharmacies.</w:t>
      </w:r>
      <w:proofErr w:type="gramEnd"/>
      <w:r w:rsidRPr="00DA25A0">
        <w:rPr>
          <w:rFonts w:asciiTheme="minorHAnsi" w:hAnsiTheme="minorHAnsi" w:cs="Times New Roman"/>
          <w:sz w:val="22"/>
          <w:szCs w:val="22"/>
        </w:rPr>
        <w:t xml:space="preserve"> </w:t>
      </w:r>
    </w:p>
    <w:p w14:paraId="140BA3B7" w14:textId="77777777" w:rsidR="00DA25A0" w:rsidRDefault="00DA25A0" w:rsidP="00DA25A0">
      <w:pPr>
        <w:pStyle w:val="Default"/>
        <w:rPr>
          <w:rFonts w:asciiTheme="minorHAnsi" w:hAnsiTheme="minorHAnsi" w:cs="Times New Roman"/>
          <w:sz w:val="22"/>
          <w:szCs w:val="22"/>
        </w:rPr>
      </w:pPr>
      <w:r w:rsidRPr="00DA25A0">
        <w:rPr>
          <w:rFonts w:asciiTheme="minorHAnsi" w:hAnsiTheme="minorHAnsi" w:cs="Times New Roman"/>
          <w:sz w:val="22"/>
          <w:szCs w:val="22"/>
        </w:rPr>
        <w:t xml:space="preserve">www.coast2coastrx.com/contracostaca </w:t>
      </w:r>
      <w:r w:rsidRPr="00DA25A0">
        <w:rPr>
          <w:rFonts w:asciiTheme="minorHAnsi" w:hAnsiTheme="minorHAnsi" w:cs="Times New Roman"/>
          <w:sz w:val="22"/>
          <w:szCs w:val="22"/>
        </w:rPr>
        <w:t xml:space="preserve"> </w:t>
      </w:r>
    </w:p>
    <w:p w14:paraId="2389459E" w14:textId="77777777" w:rsidR="00455219" w:rsidRDefault="00455219" w:rsidP="00DA25A0">
      <w:pPr>
        <w:pStyle w:val="Default"/>
        <w:rPr>
          <w:rFonts w:asciiTheme="minorHAnsi" w:hAnsiTheme="minorHAnsi" w:cs="Times New Roman"/>
          <w:sz w:val="22"/>
          <w:szCs w:val="22"/>
        </w:rPr>
      </w:pPr>
    </w:p>
    <w:p w14:paraId="6440941D" w14:textId="52535DC8" w:rsidR="00455219" w:rsidRDefault="00455219" w:rsidP="00DA25A0">
      <w:pPr>
        <w:pStyle w:val="Default"/>
        <w:rPr>
          <w:rFonts w:asciiTheme="minorHAnsi" w:hAnsiTheme="minorHAnsi" w:cs="Times New Roman"/>
          <w:b/>
          <w:sz w:val="22"/>
          <w:szCs w:val="22"/>
        </w:rPr>
      </w:pPr>
      <w:r>
        <w:rPr>
          <w:rFonts w:asciiTheme="minorHAnsi" w:hAnsiTheme="minorHAnsi" w:cs="Times New Roman"/>
          <w:b/>
          <w:sz w:val="22"/>
          <w:szCs w:val="22"/>
        </w:rPr>
        <w:t>Goodrx.com</w:t>
      </w:r>
    </w:p>
    <w:p w14:paraId="1C7F14F3" w14:textId="6341A1A3" w:rsidR="00455219" w:rsidRPr="00455219" w:rsidRDefault="00455219" w:rsidP="00DA25A0">
      <w:pPr>
        <w:pStyle w:val="Default"/>
        <w:rPr>
          <w:rFonts w:asciiTheme="minorHAnsi" w:hAnsiTheme="minorHAnsi" w:cs="Times New Roman"/>
          <w:sz w:val="22"/>
          <w:szCs w:val="22"/>
        </w:rPr>
      </w:pPr>
      <w:r>
        <w:rPr>
          <w:rFonts w:asciiTheme="minorHAnsi" w:hAnsiTheme="minorHAnsi" w:cs="Times New Roman"/>
          <w:sz w:val="22"/>
          <w:szCs w:val="22"/>
        </w:rPr>
        <w:t>Price comparisons for specific drugs in a certain geographic location</w:t>
      </w:r>
    </w:p>
    <w:p w14:paraId="15F0A7A0" w14:textId="77777777" w:rsidR="00DA25A0" w:rsidRPr="00DA25A0" w:rsidRDefault="00DA25A0" w:rsidP="00DA25A0">
      <w:pPr>
        <w:pStyle w:val="Default"/>
        <w:rPr>
          <w:rFonts w:asciiTheme="minorHAnsi" w:hAnsiTheme="minorHAnsi" w:cs="Times New Roman"/>
          <w:sz w:val="22"/>
          <w:szCs w:val="22"/>
        </w:rPr>
      </w:pPr>
    </w:p>
    <w:p w14:paraId="1D946592" w14:textId="594EE66E" w:rsidR="00DA25A0" w:rsidRPr="00DA25A0" w:rsidRDefault="00DA25A0" w:rsidP="00DA25A0">
      <w:pPr>
        <w:pStyle w:val="Default"/>
        <w:rPr>
          <w:rFonts w:asciiTheme="minorHAnsi" w:hAnsiTheme="minorHAnsi" w:cs="Times New Roman"/>
          <w:sz w:val="22"/>
          <w:szCs w:val="22"/>
        </w:rPr>
      </w:pPr>
      <w:proofErr w:type="spellStart"/>
      <w:proofErr w:type="gramStart"/>
      <w:r w:rsidRPr="00DA25A0">
        <w:rPr>
          <w:rFonts w:asciiTheme="minorHAnsi" w:hAnsiTheme="minorHAnsi"/>
          <w:b/>
          <w:bCs/>
          <w:sz w:val="22"/>
          <w:szCs w:val="22"/>
        </w:rPr>
        <w:t>NeedyMeds</w:t>
      </w:r>
      <w:proofErr w:type="spellEnd"/>
      <w:r w:rsidRPr="00DA25A0">
        <w:rPr>
          <w:rFonts w:asciiTheme="minorHAnsi" w:hAnsiTheme="minorHAnsi"/>
          <w:b/>
          <w:bCs/>
          <w:sz w:val="22"/>
          <w:szCs w:val="22"/>
        </w:rPr>
        <w:t xml:space="preserve"> </w:t>
      </w:r>
      <w:r w:rsidR="00643FC7">
        <w:rPr>
          <w:rFonts w:asciiTheme="minorHAnsi" w:hAnsiTheme="minorHAnsi"/>
          <w:sz w:val="22"/>
          <w:szCs w:val="22"/>
        </w:rPr>
        <w:t xml:space="preserve"> (</w:t>
      </w:r>
      <w:proofErr w:type="gramEnd"/>
      <w:r w:rsidRPr="00DA25A0">
        <w:rPr>
          <w:rFonts w:asciiTheme="minorHAnsi" w:hAnsiTheme="minorHAnsi" w:cs="Times New Roman"/>
          <w:sz w:val="22"/>
          <w:szCs w:val="22"/>
        </w:rPr>
        <w:t>www.needymeds.org</w:t>
      </w:r>
      <w:r w:rsidR="00643FC7">
        <w:rPr>
          <w:rFonts w:asciiTheme="minorHAnsi" w:hAnsiTheme="minorHAnsi" w:cs="Times New Roman"/>
          <w:sz w:val="22"/>
          <w:szCs w:val="22"/>
        </w:rPr>
        <w:t>)</w:t>
      </w:r>
      <w:r w:rsidRPr="00DA25A0">
        <w:rPr>
          <w:rFonts w:asciiTheme="minorHAnsi" w:hAnsiTheme="minorHAnsi" w:cs="Times New Roman"/>
          <w:sz w:val="22"/>
          <w:szCs w:val="22"/>
        </w:rPr>
        <w:t xml:space="preserve"> </w:t>
      </w:r>
    </w:p>
    <w:p w14:paraId="61094D75" w14:textId="77777777" w:rsidR="00DA25A0" w:rsidRDefault="00DA25A0" w:rsidP="00DA25A0">
      <w:pPr>
        <w:pStyle w:val="Default"/>
        <w:rPr>
          <w:rFonts w:asciiTheme="minorHAnsi" w:hAnsiTheme="minorHAnsi" w:cs="Times New Roman"/>
          <w:sz w:val="22"/>
          <w:szCs w:val="22"/>
        </w:rPr>
      </w:pPr>
      <w:r w:rsidRPr="00DA25A0">
        <w:rPr>
          <w:rFonts w:asciiTheme="minorHAnsi" w:hAnsiTheme="minorHAnsi" w:cs="Times New Roman"/>
          <w:sz w:val="22"/>
          <w:szCs w:val="22"/>
        </w:rPr>
        <w:t>Provides information on medicine and healthcare assistance programs based on needs; income/legal status varies by provider</w:t>
      </w:r>
      <w:r w:rsidRPr="00DA25A0">
        <w:rPr>
          <w:rFonts w:asciiTheme="minorHAnsi" w:hAnsiTheme="minorHAnsi"/>
          <w:sz w:val="22"/>
          <w:szCs w:val="22"/>
        </w:rPr>
        <w:t xml:space="preserve">; </w:t>
      </w:r>
      <w:r w:rsidRPr="00DA25A0">
        <w:rPr>
          <w:rFonts w:asciiTheme="minorHAnsi" w:hAnsiTheme="minorHAnsi" w:cs="Times New Roman"/>
          <w:sz w:val="22"/>
          <w:szCs w:val="22"/>
        </w:rPr>
        <w:t xml:space="preserve">Internet only </w:t>
      </w:r>
    </w:p>
    <w:p w14:paraId="4C5B702A" w14:textId="77777777" w:rsidR="00DA25A0" w:rsidRPr="00DA25A0" w:rsidRDefault="00DA25A0" w:rsidP="00DA25A0">
      <w:pPr>
        <w:pStyle w:val="Default"/>
        <w:rPr>
          <w:rFonts w:asciiTheme="minorHAnsi" w:hAnsiTheme="minorHAnsi" w:cs="Times New Roman"/>
          <w:sz w:val="22"/>
          <w:szCs w:val="22"/>
        </w:rPr>
      </w:pPr>
    </w:p>
    <w:p w14:paraId="3CED5CEB" w14:textId="277596B2" w:rsidR="00DA25A0" w:rsidRPr="00DA25A0" w:rsidRDefault="00DA25A0" w:rsidP="00DA25A0">
      <w:pPr>
        <w:pStyle w:val="Default"/>
        <w:rPr>
          <w:rFonts w:asciiTheme="minorHAnsi" w:hAnsiTheme="minorHAnsi" w:cs="Times New Roman"/>
          <w:sz w:val="22"/>
          <w:szCs w:val="22"/>
        </w:rPr>
      </w:pPr>
      <w:r w:rsidRPr="00DA25A0">
        <w:rPr>
          <w:rFonts w:asciiTheme="minorHAnsi" w:hAnsiTheme="minorHAnsi"/>
          <w:b/>
          <w:bCs/>
          <w:sz w:val="22"/>
          <w:szCs w:val="22"/>
        </w:rPr>
        <w:t xml:space="preserve">Partnership for Prescription Assistance / Rx Help for Californians </w:t>
      </w:r>
      <w:r w:rsidRPr="00DA25A0">
        <w:rPr>
          <w:rFonts w:asciiTheme="minorHAnsi" w:hAnsiTheme="minorHAnsi"/>
          <w:sz w:val="22"/>
          <w:szCs w:val="22"/>
        </w:rPr>
        <w:t xml:space="preserve"> </w:t>
      </w:r>
      <w:r w:rsidR="00643FC7">
        <w:rPr>
          <w:rFonts w:asciiTheme="minorHAnsi" w:hAnsiTheme="minorHAnsi"/>
          <w:sz w:val="22"/>
          <w:szCs w:val="22"/>
        </w:rPr>
        <w:t xml:space="preserve"> (</w:t>
      </w:r>
      <w:r w:rsidRPr="00DA25A0">
        <w:rPr>
          <w:rFonts w:asciiTheme="minorHAnsi" w:hAnsiTheme="minorHAnsi" w:cs="Times New Roman"/>
          <w:sz w:val="22"/>
          <w:szCs w:val="22"/>
        </w:rPr>
        <w:t>1-888-477-2669</w:t>
      </w:r>
      <w:r w:rsidR="00643FC7">
        <w:rPr>
          <w:rFonts w:asciiTheme="minorHAnsi" w:hAnsiTheme="minorHAnsi" w:cs="Times New Roman"/>
          <w:sz w:val="22"/>
          <w:szCs w:val="22"/>
        </w:rPr>
        <w:t>)</w:t>
      </w:r>
      <w:r w:rsidRPr="00DA25A0">
        <w:rPr>
          <w:rFonts w:asciiTheme="minorHAnsi" w:hAnsiTheme="minorHAnsi" w:cs="Times New Roman"/>
          <w:sz w:val="22"/>
          <w:szCs w:val="22"/>
        </w:rPr>
        <w:t xml:space="preserve"> </w:t>
      </w:r>
    </w:p>
    <w:p w14:paraId="79126DEC" w14:textId="77777777" w:rsidR="00DA25A0" w:rsidRDefault="00DA25A0" w:rsidP="00DA25A0">
      <w:pPr>
        <w:pStyle w:val="Default"/>
        <w:rPr>
          <w:rFonts w:asciiTheme="minorHAnsi" w:hAnsiTheme="minorHAnsi" w:cs="Wingdings 2"/>
          <w:sz w:val="22"/>
          <w:szCs w:val="22"/>
        </w:rPr>
      </w:pPr>
      <w:r w:rsidRPr="00DA25A0">
        <w:rPr>
          <w:rFonts w:asciiTheme="minorHAnsi" w:hAnsiTheme="minorHAnsi" w:cs="Times New Roman"/>
          <w:sz w:val="22"/>
          <w:szCs w:val="22"/>
        </w:rPr>
        <w:t xml:space="preserve">Provides prescription assistance to individuals by directing them to drug companies that provide their medications free or low-cost; income/legal status varies by drug provider; www.pparx.org </w:t>
      </w:r>
      <w:r w:rsidRPr="00DA25A0">
        <w:rPr>
          <w:rFonts w:asciiTheme="minorHAnsi" w:hAnsiTheme="minorHAnsi" w:cs="Wingdings 2"/>
          <w:sz w:val="22"/>
          <w:szCs w:val="22"/>
        </w:rPr>
        <w:t xml:space="preserve"> </w:t>
      </w:r>
    </w:p>
    <w:p w14:paraId="28F16DC1" w14:textId="77777777" w:rsidR="005D6388" w:rsidRPr="00DA25A0" w:rsidRDefault="005D6388" w:rsidP="00DA25A0">
      <w:pPr>
        <w:pStyle w:val="Default"/>
        <w:rPr>
          <w:rFonts w:asciiTheme="minorHAnsi" w:hAnsiTheme="minorHAnsi"/>
          <w:sz w:val="22"/>
          <w:szCs w:val="22"/>
        </w:rPr>
      </w:pPr>
    </w:p>
    <w:p w14:paraId="530FECAC" w14:textId="1EA45C15" w:rsidR="00DA25A0" w:rsidRPr="00DA25A0" w:rsidRDefault="00DA25A0" w:rsidP="00DA25A0">
      <w:pPr>
        <w:pStyle w:val="Default"/>
        <w:rPr>
          <w:rFonts w:asciiTheme="minorHAnsi" w:hAnsiTheme="minorHAnsi" w:cs="Times New Roman"/>
          <w:sz w:val="22"/>
          <w:szCs w:val="22"/>
        </w:rPr>
      </w:pPr>
      <w:r w:rsidRPr="00DA25A0">
        <w:rPr>
          <w:rFonts w:asciiTheme="minorHAnsi" w:hAnsiTheme="minorHAnsi"/>
          <w:b/>
          <w:bCs/>
          <w:sz w:val="22"/>
          <w:szCs w:val="22"/>
        </w:rPr>
        <w:t xml:space="preserve">Rx </w:t>
      </w:r>
      <w:proofErr w:type="gramStart"/>
      <w:r w:rsidRPr="00DA25A0">
        <w:rPr>
          <w:rFonts w:asciiTheme="minorHAnsi" w:hAnsiTheme="minorHAnsi"/>
          <w:b/>
          <w:bCs/>
          <w:sz w:val="22"/>
          <w:szCs w:val="22"/>
        </w:rPr>
        <w:t>Assist</w:t>
      </w:r>
      <w:r w:rsidR="00643FC7">
        <w:rPr>
          <w:rFonts w:asciiTheme="minorHAnsi" w:hAnsiTheme="minorHAnsi" w:cs="Times New Roman"/>
          <w:sz w:val="22"/>
          <w:szCs w:val="22"/>
        </w:rPr>
        <w:t xml:space="preserve">  (</w:t>
      </w:r>
      <w:proofErr w:type="gramEnd"/>
      <w:r w:rsidRPr="00DA25A0">
        <w:rPr>
          <w:rFonts w:asciiTheme="minorHAnsi" w:hAnsiTheme="minorHAnsi" w:cs="Times New Roman"/>
          <w:sz w:val="22"/>
          <w:szCs w:val="22"/>
        </w:rPr>
        <w:t>www.rxassist.org</w:t>
      </w:r>
      <w:r w:rsidR="00643FC7">
        <w:rPr>
          <w:rFonts w:asciiTheme="minorHAnsi" w:hAnsiTheme="minorHAnsi" w:cs="Times New Roman"/>
          <w:sz w:val="22"/>
          <w:szCs w:val="22"/>
        </w:rPr>
        <w:t>)</w:t>
      </w:r>
      <w:r w:rsidRPr="00DA25A0">
        <w:rPr>
          <w:rFonts w:asciiTheme="minorHAnsi" w:hAnsiTheme="minorHAnsi" w:cs="Times New Roman"/>
          <w:sz w:val="22"/>
          <w:szCs w:val="22"/>
        </w:rPr>
        <w:t xml:space="preserve"> </w:t>
      </w:r>
    </w:p>
    <w:p w14:paraId="24F758BB" w14:textId="77777777" w:rsidR="00DA25A0" w:rsidRDefault="00DA25A0" w:rsidP="00DA25A0">
      <w:pPr>
        <w:pStyle w:val="Default"/>
        <w:rPr>
          <w:rFonts w:asciiTheme="minorHAnsi" w:hAnsiTheme="minorHAnsi" w:cs="Times New Roman"/>
          <w:sz w:val="22"/>
          <w:szCs w:val="22"/>
        </w:rPr>
      </w:pPr>
      <w:r w:rsidRPr="00DA25A0">
        <w:rPr>
          <w:rFonts w:asciiTheme="minorHAnsi" w:hAnsiTheme="minorHAnsi" w:cs="Times New Roman"/>
          <w:sz w:val="22"/>
          <w:szCs w:val="22"/>
        </w:rPr>
        <w:t xml:space="preserve">Provides a list of drug companies that provide expense assistance; income/legal status varies by drug provider, Internet only. </w:t>
      </w:r>
    </w:p>
    <w:p w14:paraId="510C4B8C" w14:textId="77777777" w:rsidR="005D6388" w:rsidRPr="00DA25A0" w:rsidRDefault="005D6388" w:rsidP="00DA25A0">
      <w:pPr>
        <w:pStyle w:val="Default"/>
        <w:rPr>
          <w:rFonts w:asciiTheme="minorHAnsi" w:hAnsiTheme="minorHAnsi" w:cs="Times New Roman"/>
          <w:sz w:val="22"/>
          <w:szCs w:val="22"/>
        </w:rPr>
      </w:pPr>
    </w:p>
    <w:p w14:paraId="4013B408" w14:textId="7625713B" w:rsidR="00DA25A0" w:rsidRPr="00DA25A0" w:rsidRDefault="00DA25A0" w:rsidP="00DA25A0">
      <w:pPr>
        <w:pStyle w:val="Default"/>
        <w:rPr>
          <w:rFonts w:asciiTheme="minorHAnsi" w:hAnsiTheme="minorHAnsi" w:cs="Times New Roman"/>
          <w:sz w:val="22"/>
          <w:szCs w:val="22"/>
        </w:rPr>
      </w:pPr>
      <w:r w:rsidRPr="00DA25A0">
        <w:rPr>
          <w:rFonts w:asciiTheme="minorHAnsi" w:hAnsiTheme="minorHAnsi"/>
          <w:b/>
          <w:bCs/>
          <w:sz w:val="22"/>
          <w:szCs w:val="22"/>
        </w:rPr>
        <w:t xml:space="preserve">Rx </w:t>
      </w:r>
      <w:proofErr w:type="gramStart"/>
      <w:r w:rsidRPr="00DA25A0">
        <w:rPr>
          <w:rFonts w:asciiTheme="minorHAnsi" w:hAnsiTheme="minorHAnsi"/>
          <w:b/>
          <w:bCs/>
          <w:sz w:val="22"/>
          <w:szCs w:val="22"/>
        </w:rPr>
        <w:t>Outreach</w:t>
      </w:r>
      <w:r w:rsidR="00643FC7">
        <w:rPr>
          <w:rFonts w:asciiTheme="minorHAnsi" w:hAnsiTheme="minorHAnsi"/>
          <w:sz w:val="22"/>
          <w:szCs w:val="22"/>
        </w:rPr>
        <w:t xml:space="preserve">  (</w:t>
      </w:r>
      <w:proofErr w:type="gramEnd"/>
      <w:r w:rsidRPr="00DA25A0">
        <w:rPr>
          <w:rFonts w:asciiTheme="minorHAnsi" w:hAnsiTheme="minorHAnsi" w:cs="Times New Roman"/>
          <w:sz w:val="22"/>
          <w:szCs w:val="22"/>
        </w:rPr>
        <w:t>1-800-769-3880</w:t>
      </w:r>
      <w:r w:rsidR="00643FC7">
        <w:rPr>
          <w:rFonts w:asciiTheme="minorHAnsi" w:hAnsiTheme="minorHAnsi" w:cs="Times New Roman"/>
          <w:sz w:val="22"/>
          <w:szCs w:val="22"/>
        </w:rPr>
        <w:t>)</w:t>
      </w:r>
      <w:r w:rsidRPr="00DA25A0">
        <w:rPr>
          <w:rFonts w:asciiTheme="minorHAnsi" w:hAnsiTheme="minorHAnsi" w:cs="Times New Roman"/>
          <w:sz w:val="22"/>
          <w:szCs w:val="22"/>
        </w:rPr>
        <w:t xml:space="preserve"> </w:t>
      </w:r>
    </w:p>
    <w:p w14:paraId="4EEE764A" w14:textId="77777777" w:rsidR="00DA25A0" w:rsidRDefault="00DA25A0" w:rsidP="00DA25A0">
      <w:pPr>
        <w:pStyle w:val="Default"/>
        <w:rPr>
          <w:rFonts w:asciiTheme="minorHAnsi" w:hAnsiTheme="minorHAnsi" w:cs="Wingdings 2"/>
          <w:sz w:val="22"/>
          <w:szCs w:val="22"/>
        </w:rPr>
      </w:pPr>
      <w:r w:rsidRPr="00DA25A0">
        <w:rPr>
          <w:rFonts w:asciiTheme="minorHAnsi" w:hAnsiTheme="minorHAnsi" w:cs="Times New Roman"/>
          <w:sz w:val="22"/>
          <w:szCs w:val="22"/>
        </w:rPr>
        <w:t xml:space="preserve">Provides information on resources for mail-order prescription assistance; income/legal status varies by drug provider; www.rxoutreach.com </w:t>
      </w:r>
      <w:r w:rsidRPr="00DA25A0">
        <w:rPr>
          <w:rFonts w:asciiTheme="minorHAnsi" w:hAnsiTheme="minorHAnsi" w:cs="Wingdings 2"/>
          <w:sz w:val="22"/>
          <w:szCs w:val="22"/>
        </w:rPr>
        <w:t xml:space="preserve"> </w:t>
      </w:r>
    </w:p>
    <w:p w14:paraId="5FBB09CE" w14:textId="77777777" w:rsidR="005D6388" w:rsidRPr="00DA25A0" w:rsidRDefault="005D6388" w:rsidP="00DA25A0">
      <w:pPr>
        <w:pStyle w:val="Default"/>
        <w:rPr>
          <w:rFonts w:asciiTheme="minorHAnsi" w:hAnsiTheme="minorHAnsi"/>
          <w:sz w:val="22"/>
          <w:szCs w:val="22"/>
        </w:rPr>
      </w:pPr>
    </w:p>
    <w:p w14:paraId="2D3CD77D" w14:textId="50EFA1F6" w:rsidR="00DA25A0" w:rsidRPr="00DA25A0" w:rsidRDefault="00DA25A0" w:rsidP="00DA25A0">
      <w:pPr>
        <w:pStyle w:val="Default"/>
        <w:rPr>
          <w:rFonts w:asciiTheme="minorHAnsi" w:hAnsiTheme="minorHAnsi" w:cs="Times New Roman"/>
          <w:sz w:val="22"/>
          <w:szCs w:val="22"/>
        </w:rPr>
      </w:pPr>
      <w:r w:rsidRPr="00DA25A0">
        <w:rPr>
          <w:rFonts w:asciiTheme="minorHAnsi" w:hAnsiTheme="minorHAnsi"/>
          <w:b/>
          <w:bCs/>
          <w:sz w:val="22"/>
          <w:szCs w:val="22"/>
        </w:rPr>
        <w:t>Rite Aid</w:t>
      </w:r>
      <w:r w:rsidRPr="00DA25A0">
        <w:rPr>
          <w:rFonts w:asciiTheme="minorHAnsi" w:hAnsiTheme="minorHAnsi" w:cs="Times New Roman"/>
          <w:sz w:val="22"/>
          <w:szCs w:val="22"/>
        </w:rPr>
        <w:t xml:space="preserve">: $10/30 days; $16 for 90 days; </w:t>
      </w:r>
      <w:hyperlink r:id="rId13" w:history="1">
        <w:r w:rsidRPr="00643FC7">
          <w:rPr>
            <w:rStyle w:val="Hyperlink"/>
            <w:rFonts w:asciiTheme="minorHAnsi" w:hAnsiTheme="minorHAnsi" w:cs="Times New Roman"/>
            <w:sz w:val="22"/>
            <w:szCs w:val="22"/>
          </w:rPr>
          <w:t>500 generics</w:t>
        </w:r>
      </w:hyperlink>
      <w:r w:rsidRPr="00DA25A0">
        <w:rPr>
          <w:rFonts w:asciiTheme="minorHAnsi" w:hAnsiTheme="minorHAnsi" w:cs="Times New Roman"/>
          <w:sz w:val="22"/>
          <w:szCs w:val="22"/>
        </w:rPr>
        <w:t xml:space="preserve"> </w:t>
      </w:r>
    </w:p>
    <w:p w14:paraId="1223B1C0" w14:textId="0CD72682" w:rsidR="00DA25A0" w:rsidRPr="00DA25A0" w:rsidRDefault="00DA25A0" w:rsidP="00DA25A0">
      <w:pPr>
        <w:pStyle w:val="Default"/>
        <w:rPr>
          <w:rFonts w:asciiTheme="minorHAnsi" w:hAnsiTheme="minorHAnsi" w:cs="Times New Roman"/>
          <w:sz w:val="22"/>
          <w:szCs w:val="22"/>
        </w:rPr>
      </w:pPr>
      <w:r w:rsidRPr="00DA25A0">
        <w:rPr>
          <w:rFonts w:asciiTheme="minorHAnsi" w:hAnsiTheme="minorHAnsi"/>
          <w:b/>
          <w:bCs/>
          <w:sz w:val="22"/>
          <w:szCs w:val="22"/>
        </w:rPr>
        <w:t>Target Stores</w:t>
      </w:r>
      <w:r w:rsidRPr="00DA25A0">
        <w:rPr>
          <w:rFonts w:asciiTheme="minorHAnsi" w:hAnsiTheme="minorHAnsi" w:cs="Times New Roman"/>
          <w:sz w:val="22"/>
          <w:szCs w:val="22"/>
        </w:rPr>
        <w:t xml:space="preserve">: $4/30 day, $10/90 days; </w:t>
      </w:r>
      <w:hyperlink r:id="rId14" w:history="1">
        <w:r w:rsidRPr="00643FC7">
          <w:rPr>
            <w:rStyle w:val="Hyperlink"/>
            <w:rFonts w:asciiTheme="minorHAnsi" w:hAnsiTheme="minorHAnsi" w:cs="Times New Roman"/>
            <w:sz w:val="22"/>
            <w:szCs w:val="22"/>
          </w:rPr>
          <w:t>300 generics</w:t>
        </w:r>
      </w:hyperlink>
      <w:r w:rsidRPr="00DA25A0">
        <w:rPr>
          <w:rFonts w:asciiTheme="minorHAnsi" w:hAnsiTheme="minorHAnsi" w:cs="Times New Roman"/>
          <w:sz w:val="22"/>
          <w:szCs w:val="22"/>
        </w:rPr>
        <w:t xml:space="preserve"> </w:t>
      </w:r>
    </w:p>
    <w:p w14:paraId="7E66D655" w14:textId="1312E2F6" w:rsidR="00DA25A0" w:rsidRPr="00DA25A0" w:rsidRDefault="00DA25A0" w:rsidP="00DA25A0">
      <w:pPr>
        <w:pStyle w:val="Default"/>
        <w:rPr>
          <w:rFonts w:asciiTheme="minorHAnsi" w:hAnsiTheme="minorHAnsi" w:cs="Times New Roman"/>
          <w:sz w:val="22"/>
          <w:szCs w:val="22"/>
        </w:rPr>
      </w:pPr>
      <w:r w:rsidRPr="00DA25A0">
        <w:rPr>
          <w:rFonts w:asciiTheme="minorHAnsi" w:hAnsiTheme="minorHAnsi"/>
          <w:b/>
          <w:bCs/>
          <w:sz w:val="22"/>
          <w:szCs w:val="22"/>
        </w:rPr>
        <w:t>Walgreens</w:t>
      </w:r>
      <w:r w:rsidRPr="00DA25A0">
        <w:rPr>
          <w:rFonts w:asciiTheme="minorHAnsi" w:hAnsiTheme="minorHAnsi" w:cs="Times New Roman"/>
          <w:sz w:val="22"/>
          <w:szCs w:val="22"/>
        </w:rPr>
        <w:t xml:space="preserve">: $5/30 days, $10/90 days, </w:t>
      </w:r>
      <w:hyperlink r:id="rId15" w:history="1">
        <w:r w:rsidRPr="00643FC7">
          <w:rPr>
            <w:rStyle w:val="Hyperlink"/>
            <w:rFonts w:asciiTheme="minorHAnsi" w:hAnsiTheme="minorHAnsi" w:cs="Times New Roman"/>
            <w:sz w:val="22"/>
            <w:szCs w:val="22"/>
          </w:rPr>
          <w:t>400 generics</w:t>
        </w:r>
      </w:hyperlink>
      <w:r w:rsidRPr="00DA25A0">
        <w:rPr>
          <w:rFonts w:asciiTheme="minorHAnsi" w:hAnsiTheme="minorHAnsi" w:cs="Times New Roman"/>
          <w:sz w:val="22"/>
          <w:szCs w:val="22"/>
        </w:rPr>
        <w:t xml:space="preserve">; $20 individual, $35 family enrollment </w:t>
      </w:r>
    </w:p>
    <w:p w14:paraId="0FD517A7" w14:textId="00EF8EDA" w:rsidR="00DA25A0" w:rsidRPr="005D6388" w:rsidRDefault="00DA25A0" w:rsidP="005D6388">
      <w:pPr>
        <w:pStyle w:val="Default"/>
        <w:rPr>
          <w:rFonts w:asciiTheme="minorHAnsi" w:hAnsiTheme="minorHAnsi" w:cs="Times New Roman"/>
          <w:sz w:val="22"/>
          <w:szCs w:val="22"/>
        </w:rPr>
      </w:pPr>
      <w:r w:rsidRPr="00DA25A0">
        <w:rPr>
          <w:rFonts w:asciiTheme="minorHAnsi" w:hAnsiTheme="minorHAnsi"/>
          <w:b/>
          <w:bCs/>
          <w:sz w:val="22"/>
          <w:szCs w:val="22"/>
        </w:rPr>
        <w:t>Walmart</w:t>
      </w:r>
      <w:r w:rsidRPr="00DA25A0">
        <w:rPr>
          <w:rFonts w:asciiTheme="minorHAnsi" w:hAnsiTheme="minorHAnsi" w:cs="Times New Roman"/>
          <w:sz w:val="22"/>
          <w:szCs w:val="22"/>
        </w:rPr>
        <w:t xml:space="preserve">: $4/30 day, $10/90 days; </w:t>
      </w:r>
      <w:hyperlink r:id="rId16" w:history="1">
        <w:r w:rsidRPr="00643FC7">
          <w:rPr>
            <w:rStyle w:val="Hyperlink"/>
            <w:rFonts w:asciiTheme="minorHAnsi" w:hAnsiTheme="minorHAnsi" w:cs="Times New Roman"/>
            <w:sz w:val="22"/>
            <w:szCs w:val="22"/>
          </w:rPr>
          <w:t>300 generics</w:t>
        </w:r>
      </w:hyperlink>
      <w:r w:rsidRPr="00DA25A0">
        <w:rPr>
          <w:rFonts w:asciiTheme="minorHAnsi" w:hAnsiTheme="minorHAnsi" w:cs="Times New Roman"/>
          <w:sz w:val="22"/>
          <w:szCs w:val="22"/>
        </w:rPr>
        <w:t xml:space="preserve"> </w:t>
      </w:r>
    </w:p>
    <w:sectPr w:rsidR="00DA25A0" w:rsidRPr="005D6388" w:rsidSect="008C09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altName w:val="Wingdings"/>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C5A3B"/>
    <w:multiLevelType w:val="hybridMultilevel"/>
    <w:tmpl w:val="CAFCD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C1D2B48"/>
    <w:multiLevelType w:val="hybridMultilevel"/>
    <w:tmpl w:val="4380D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6154F4"/>
    <w:multiLevelType w:val="hybridMultilevel"/>
    <w:tmpl w:val="C8A2A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B7F2B50"/>
    <w:multiLevelType w:val="hybridMultilevel"/>
    <w:tmpl w:val="AEF8D3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3F55511"/>
    <w:multiLevelType w:val="hybridMultilevel"/>
    <w:tmpl w:val="51A6DDF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FCD1DA1"/>
    <w:multiLevelType w:val="hybridMultilevel"/>
    <w:tmpl w:val="77706C5A"/>
    <w:lvl w:ilvl="0" w:tplc="B56EB5D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C45"/>
    <w:rsid w:val="00042E7D"/>
    <w:rsid w:val="000B4C45"/>
    <w:rsid w:val="00143D27"/>
    <w:rsid w:val="00222E63"/>
    <w:rsid w:val="00224EB6"/>
    <w:rsid w:val="00362C8D"/>
    <w:rsid w:val="003F2A35"/>
    <w:rsid w:val="00423EFA"/>
    <w:rsid w:val="00455219"/>
    <w:rsid w:val="0046608A"/>
    <w:rsid w:val="005D6388"/>
    <w:rsid w:val="005E338E"/>
    <w:rsid w:val="00643FC7"/>
    <w:rsid w:val="006C1DE6"/>
    <w:rsid w:val="0078273A"/>
    <w:rsid w:val="007A5981"/>
    <w:rsid w:val="00800F18"/>
    <w:rsid w:val="00821A02"/>
    <w:rsid w:val="008C09D1"/>
    <w:rsid w:val="00B94AA1"/>
    <w:rsid w:val="00C515B9"/>
    <w:rsid w:val="00D94D9A"/>
    <w:rsid w:val="00DA25A0"/>
    <w:rsid w:val="00DE5F89"/>
    <w:rsid w:val="00E547DB"/>
    <w:rsid w:val="00EA4FFE"/>
    <w:rsid w:val="00F776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D66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C45"/>
    <w:pPr>
      <w:ind w:left="720"/>
      <w:contextualSpacing/>
    </w:pPr>
  </w:style>
  <w:style w:type="character" w:styleId="Hyperlink">
    <w:name w:val="Hyperlink"/>
    <w:basedOn w:val="DefaultParagraphFont"/>
    <w:uiPriority w:val="99"/>
    <w:unhideWhenUsed/>
    <w:rsid w:val="00C515B9"/>
    <w:rPr>
      <w:color w:val="0000FF" w:themeColor="hyperlink"/>
      <w:u w:val="single"/>
    </w:rPr>
  </w:style>
  <w:style w:type="character" w:styleId="FollowedHyperlink">
    <w:name w:val="FollowedHyperlink"/>
    <w:basedOn w:val="DefaultParagraphFont"/>
    <w:uiPriority w:val="99"/>
    <w:semiHidden/>
    <w:unhideWhenUsed/>
    <w:rsid w:val="005E338E"/>
    <w:rPr>
      <w:color w:val="800080" w:themeColor="followedHyperlink"/>
      <w:u w:val="single"/>
    </w:rPr>
  </w:style>
  <w:style w:type="paragraph" w:styleId="BalloonText">
    <w:name w:val="Balloon Text"/>
    <w:basedOn w:val="Normal"/>
    <w:link w:val="BalloonTextChar"/>
    <w:uiPriority w:val="99"/>
    <w:semiHidden/>
    <w:unhideWhenUsed/>
    <w:rsid w:val="00224E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4EB6"/>
    <w:rPr>
      <w:rFonts w:ascii="Tahoma" w:hAnsi="Tahoma" w:cs="Tahoma"/>
      <w:sz w:val="16"/>
      <w:szCs w:val="16"/>
    </w:rPr>
  </w:style>
  <w:style w:type="paragraph" w:customStyle="1" w:styleId="Default">
    <w:name w:val="Default"/>
    <w:rsid w:val="00DA25A0"/>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4C45"/>
    <w:pPr>
      <w:ind w:left="720"/>
      <w:contextualSpacing/>
    </w:pPr>
  </w:style>
  <w:style w:type="character" w:styleId="Hyperlink">
    <w:name w:val="Hyperlink"/>
    <w:basedOn w:val="DefaultParagraphFont"/>
    <w:uiPriority w:val="99"/>
    <w:unhideWhenUsed/>
    <w:rsid w:val="00C515B9"/>
    <w:rPr>
      <w:color w:val="0000FF" w:themeColor="hyperlink"/>
      <w:u w:val="single"/>
    </w:rPr>
  </w:style>
  <w:style w:type="character" w:styleId="FollowedHyperlink">
    <w:name w:val="FollowedHyperlink"/>
    <w:basedOn w:val="DefaultParagraphFont"/>
    <w:uiPriority w:val="99"/>
    <w:semiHidden/>
    <w:unhideWhenUsed/>
    <w:rsid w:val="005E338E"/>
    <w:rPr>
      <w:color w:val="800080" w:themeColor="followedHyperlink"/>
      <w:u w:val="single"/>
    </w:rPr>
  </w:style>
  <w:style w:type="paragraph" w:styleId="BalloonText">
    <w:name w:val="Balloon Text"/>
    <w:basedOn w:val="Normal"/>
    <w:link w:val="BalloonTextChar"/>
    <w:uiPriority w:val="99"/>
    <w:semiHidden/>
    <w:unhideWhenUsed/>
    <w:rsid w:val="00224E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4EB6"/>
    <w:rPr>
      <w:rFonts w:ascii="Tahoma" w:hAnsi="Tahoma" w:cs="Tahoma"/>
      <w:sz w:val="16"/>
      <w:szCs w:val="16"/>
    </w:rPr>
  </w:style>
  <w:style w:type="paragraph" w:customStyle="1" w:styleId="Default">
    <w:name w:val="Default"/>
    <w:rsid w:val="00DA25A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who.int/medicinedocs/en/d/Js4883e/6.html" TargetMode="External"/><Relationship Id="rId13" Type="http://schemas.openxmlformats.org/officeDocument/2006/relationships/hyperlink" Target="http://content.riteaid.com/rx-savings/RX_Savings_Directory_10252013.pd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adhereforhealth.org/resources/" TargetMode="External"/><Relationship Id="rId12" Type="http://schemas.openxmlformats.org/officeDocument/2006/relationships/hyperlink" Target="http://files.medi-cal.ca.gov/pubsdoco/manual/man_query.asp?wSearch=%28%23filename+drugscdl*.doc+OR+%23filename+drugscdl*.zip%29&amp;wFLogo=Contract+Drugs+List&amp;wFLogoH=52&amp;wFLogoW=516&amp;wAlt=Contract+Drugs+List&amp;wPath=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walmartimages.com/i/if/hmp/fusion/customer_list.pdf" TargetMode="External"/><Relationship Id="rId1" Type="http://schemas.openxmlformats.org/officeDocument/2006/relationships/numbering" Target="numbering.xml"/><Relationship Id="rId6" Type="http://schemas.openxmlformats.org/officeDocument/2006/relationships/hyperlink" Target="http://www.baconeast.com/" TargetMode="External"/><Relationship Id="rId11" Type="http://schemas.openxmlformats.org/officeDocument/2006/relationships/hyperlink" Target="http://cchealth.org/healthplan/pdf/pdl.pdf" TargetMode="External"/><Relationship Id="rId5" Type="http://schemas.openxmlformats.org/officeDocument/2006/relationships/webSettings" Target="webSettings.xml"/><Relationship Id="rId15" Type="http://schemas.openxmlformats.org/officeDocument/2006/relationships/hyperlink" Target="http://www.walgreens.com/psc/VPG_List_Update_10-15-2013.pdf" TargetMode="External"/><Relationship Id="rId10" Type="http://schemas.openxmlformats.org/officeDocument/2006/relationships/hyperlink" Target="http://www.cengagesites.com/academic/assets/sites/5407/pdf/appendices/appendix-8_combinationdrugs.pdf" TargetMode="External"/><Relationship Id="rId4" Type="http://schemas.openxmlformats.org/officeDocument/2006/relationships/settings" Target="settings.xml"/><Relationship Id="rId9" Type="http://schemas.openxmlformats.org/officeDocument/2006/relationships/hyperlink" Target="http://www.pharmacist.com/medication-adherence-there%E2%80%99s-app" TargetMode="External"/><Relationship Id="rId14" Type="http://schemas.openxmlformats.org/officeDocument/2006/relationships/hyperlink" Target="http://www.target.com/pharmacy/generics-cond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722</Words>
  <Characters>4118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craymond</dc:creator>
  <cp:lastModifiedBy>Joann Valencia</cp:lastModifiedBy>
  <cp:revision>2</cp:revision>
  <dcterms:created xsi:type="dcterms:W3CDTF">2014-07-23T17:16:00Z</dcterms:created>
  <dcterms:modified xsi:type="dcterms:W3CDTF">2014-07-23T17:16:00Z</dcterms:modified>
</cp:coreProperties>
</file>