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66" w:rsidRDefault="009C1451" w:rsidP="004F3AD8">
      <w:pPr>
        <w:rPr>
          <w:sz w:val="20"/>
        </w:rPr>
      </w:pPr>
      <w:r w:rsidRPr="0027739A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9C791" wp14:editId="6C29EB0D">
                <wp:simplePos x="0" y="0"/>
                <wp:positionH relativeFrom="column">
                  <wp:posOffset>4281558</wp:posOffset>
                </wp:positionH>
                <wp:positionV relativeFrom="paragraph">
                  <wp:posOffset>-84875</wp:posOffset>
                </wp:positionV>
                <wp:extent cx="2802577" cy="1615044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577" cy="16150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678" w:rsidRDefault="00DD16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CE0B7E" wp14:editId="749BAF38">
                                  <wp:extent cx="2132098" cy="1448789"/>
                                  <wp:effectExtent l="0" t="0" r="1905" b="0"/>
                                  <wp:docPr id="2" name="Picture 2" descr="http://images.medicinenet.com/images/slideshow/eczema-atopic-dermatitis-s5-illustration-of-common-sites-of-eczema-outbreak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images.medicinenet.com/images/slideshow/eczema-atopic-dermatitis-s5-illustration-of-common-sites-of-eczema-outbreak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1234" cy="14549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1678" w:rsidRPr="00DD1678" w:rsidRDefault="00DD1678">
                            <w:pPr>
                              <w:rPr>
                                <w:sz w:val="14"/>
                              </w:rPr>
                            </w:pPr>
                            <w:r w:rsidRPr="00DD1678">
                              <w:rPr>
                                <w:sz w:val="14"/>
                              </w:rPr>
                              <w:t>Medicinenet.com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-6.7pt;width:220.7pt;height:1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" filled="f" stroked="f">
                <v:textbox>
                  <w:txbxContent>
                    <w:p w:rsidR="00DD1678" w:rsidRDefault="00DD1678">
                      <w:r>
                        <w:rPr>
                          <w:noProof/>
                        </w:rPr>
                        <w:drawing>
                          <wp:inline distT="0" distB="0" distL="0" distR="0" wp14:anchorId="4DCE0B7E" wp14:editId="749BAF38">
                            <wp:extent cx="2132098" cy="1448789"/>
                            <wp:effectExtent l="0" t="0" r="1905" b="0"/>
                            <wp:docPr id="2" name="Picture 2" descr="http://images.medicinenet.com/images/slideshow/eczema-atopic-dermatitis-s5-illustration-of-common-sites-of-eczema-outbreak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://images.medicinenet.com/images/slideshow/eczema-atopic-dermatitis-s5-illustration-of-common-sites-of-eczema-outbreak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1234" cy="14549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1678" w:rsidRPr="00DD1678" w:rsidRDefault="00DD1678">
                      <w:pPr>
                        <w:rPr>
                          <w:sz w:val="14"/>
                        </w:rPr>
                      </w:pPr>
                      <w:r w:rsidRPr="00DD1678">
                        <w:rPr>
                          <w:sz w:val="14"/>
                        </w:rPr>
                        <w:t>Medicinenet.com</w:t>
                      </w:r>
                    </w:p>
                  </w:txbxContent>
                </v:textbox>
              </v:shape>
            </w:pict>
          </mc:Fallback>
        </mc:AlternateContent>
      </w:r>
      <w:r w:rsidR="00505566" w:rsidRPr="0027739A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341BEA" wp14:editId="7D1FA996">
                <wp:simplePos x="0" y="0"/>
                <wp:positionH relativeFrom="column">
                  <wp:posOffset>-649415</wp:posOffset>
                </wp:positionH>
                <wp:positionV relativeFrom="paragraph">
                  <wp:posOffset>-326390</wp:posOffset>
                </wp:positionV>
                <wp:extent cx="4001770" cy="10001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177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0BD3" w:rsidRPr="00290003" w:rsidRDefault="00E30BD3" w:rsidP="00E30BD3">
                            <w:pPr>
                              <w:jc w:val="center"/>
                              <w:rPr>
                                <w:b/>
                                <w:noProof/>
                                <w:color w:val="FF3300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90003">
                              <w:rPr>
                                <w:b/>
                                <w:noProof/>
                                <w:color w:val="FF3300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Eczema</w:t>
                            </w:r>
                            <w:r w:rsidR="00505566">
                              <w:rPr>
                                <w:b/>
                                <w:noProof/>
                                <w:color w:val="FF3300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="00505566">
                              <w:rPr>
                                <w:sz w:val="20"/>
                              </w:rPr>
                              <w:t>a.</w:t>
                            </w:r>
                            <w:r w:rsidR="00505566" w:rsidRPr="00505566">
                              <w:rPr>
                                <w:sz w:val="20"/>
                              </w:rPr>
                              <w:t>k.a. atopic dermatitis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1.15pt;margin-top:-25.7pt;width:315.1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" filled="f" stroked="f">
                <v:fill o:detectmouseclick="t"/>
                <v:textbox>
                  <w:txbxContent>
                    <w:p w:rsidR="00E30BD3" w:rsidRPr="00290003" w:rsidRDefault="00E30BD3" w:rsidP="00E30BD3">
                      <w:pPr>
                        <w:jc w:val="center"/>
                        <w:rPr>
                          <w:b/>
                          <w:noProof/>
                          <w:color w:val="FF3300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290003">
                        <w:rPr>
                          <w:b/>
                          <w:noProof/>
                          <w:color w:val="FF3300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Eczema</w:t>
                      </w:r>
                      <w:r w:rsidR="00505566">
                        <w:rPr>
                          <w:b/>
                          <w:noProof/>
                          <w:color w:val="FF3300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="00505566">
                        <w:rPr>
                          <w:sz w:val="20"/>
                        </w:rPr>
                        <w:t>a.</w:t>
                      </w:r>
                      <w:r w:rsidR="00505566" w:rsidRPr="00505566">
                        <w:rPr>
                          <w:sz w:val="20"/>
                        </w:rPr>
                        <w:t>k.a. atopic dermatitis</w:t>
                      </w:r>
                    </w:p>
                  </w:txbxContent>
                </v:textbox>
              </v:shape>
            </w:pict>
          </mc:Fallback>
        </mc:AlternateContent>
      </w:r>
    </w:p>
    <w:p w:rsidR="00127091" w:rsidRPr="00505566" w:rsidRDefault="00127091" w:rsidP="00505566">
      <w:pPr>
        <w:pStyle w:val="ListParagraph"/>
        <w:numPr>
          <w:ilvl w:val="0"/>
          <w:numId w:val="1"/>
        </w:numPr>
        <w:rPr>
          <w:sz w:val="20"/>
        </w:rPr>
      </w:pPr>
      <w:r w:rsidRPr="00505566">
        <w:rPr>
          <w:sz w:val="20"/>
        </w:rPr>
        <w:t>Chronic, relapsing, pruritic inflammatory skin disease</w:t>
      </w:r>
    </w:p>
    <w:p w:rsidR="00127091" w:rsidRPr="0027739A" w:rsidRDefault="00127091" w:rsidP="00127091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Associated w</w:t>
      </w:r>
      <w:r w:rsidR="000F0DA8" w:rsidRPr="0027739A">
        <w:rPr>
          <w:sz w:val="20"/>
        </w:rPr>
        <w:t>ith elevated ser</w:t>
      </w:r>
      <w:r w:rsidRPr="0027739A">
        <w:rPr>
          <w:sz w:val="20"/>
        </w:rPr>
        <w:t xml:space="preserve">um </w:t>
      </w:r>
      <w:proofErr w:type="spellStart"/>
      <w:r w:rsidRPr="0027739A">
        <w:rPr>
          <w:sz w:val="20"/>
        </w:rPr>
        <w:t>IgE</w:t>
      </w:r>
      <w:proofErr w:type="spellEnd"/>
      <w:r w:rsidRPr="0027739A">
        <w:rPr>
          <w:sz w:val="20"/>
        </w:rPr>
        <w:t xml:space="preserve"> levels, rhinitis and asthma </w:t>
      </w:r>
    </w:p>
    <w:p w:rsidR="00DD1678" w:rsidRPr="0027739A" w:rsidRDefault="00127091">
      <w:pPr>
        <w:rPr>
          <w:b/>
          <w:sz w:val="20"/>
        </w:rPr>
      </w:pPr>
      <w:r w:rsidRPr="0027739A">
        <w:rPr>
          <w:b/>
          <w:sz w:val="20"/>
        </w:rPr>
        <w:t>Epidemiology</w:t>
      </w:r>
    </w:p>
    <w:p w:rsidR="00127091" w:rsidRDefault="00612697" w:rsidP="009C1451">
      <w:pPr>
        <w:pStyle w:val="ListParagraph"/>
        <w:numPr>
          <w:ilvl w:val="0"/>
          <w:numId w:val="1"/>
        </w:numPr>
        <w:rPr>
          <w:sz w:val="20"/>
        </w:rPr>
      </w:pPr>
      <w:r w:rsidRPr="00A83EC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76CC75" wp14:editId="228E544F">
                <wp:simplePos x="0" y="0"/>
                <wp:positionH relativeFrom="column">
                  <wp:posOffset>5164455</wp:posOffset>
                </wp:positionH>
                <wp:positionV relativeFrom="paragraph">
                  <wp:posOffset>282765</wp:posOffset>
                </wp:positionV>
                <wp:extent cx="838200" cy="2095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3EC2" w:rsidRPr="00A83EC2" w:rsidRDefault="00A83EC2">
                            <w:pPr>
                              <w:rPr>
                                <w:sz w:val="12"/>
                              </w:rPr>
                            </w:pPr>
                            <w:r w:rsidRPr="00A83EC2">
                              <w:rPr>
                                <w:sz w:val="12"/>
                              </w:rPr>
                              <w:t>Medicinenet.com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06.65pt;margin-top:22.25pt;width:66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" filled="f" stroked="f">
                <v:textbox>
                  <w:txbxContent>
                    <w:p w:rsidR="00A83EC2" w:rsidRPr="00A83EC2" w:rsidRDefault="00A83EC2">
                      <w:pPr>
                        <w:rPr>
                          <w:sz w:val="12"/>
                        </w:rPr>
                      </w:pPr>
                      <w:r w:rsidRPr="00A83EC2">
                        <w:rPr>
                          <w:sz w:val="12"/>
                        </w:rPr>
                        <w:t>Medicinenet.com</w:t>
                      </w:r>
                    </w:p>
                  </w:txbxContent>
                </v:textbox>
              </v:shape>
            </w:pict>
          </mc:Fallback>
        </mc:AlternateContent>
      </w:r>
      <w:r w:rsidR="00DF5307">
        <w:rPr>
          <w:sz w:val="20"/>
        </w:rPr>
        <w:t xml:space="preserve">Age of onset typically &lt; 5 years old </w:t>
      </w:r>
      <w:r w:rsidR="00936C21" w:rsidRPr="009C1451">
        <w:rPr>
          <w:sz w:val="20"/>
        </w:rPr>
        <w:t>but adults commonly affected as well</w:t>
      </w:r>
    </w:p>
    <w:p w:rsidR="00DF5307" w:rsidRPr="009C1451" w:rsidRDefault="00DF5307" w:rsidP="009C1451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Affects 5-20% of all children worldwide, prevalence in US (all ages) is 11%</w:t>
      </w:r>
    </w:p>
    <w:p w:rsidR="00127091" w:rsidRPr="0027739A" w:rsidRDefault="00127091" w:rsidP="00127091">
      <w:pPr>
        <w:rPr>
          <w:b/>
          <w:sz w:val="20"/>
        </w:rPr>
      </w:pPr>
      <w:r w:rsidRPr="0027739A">
        <w:rPr>
          <w:b/>
          <w:sz w:val="20"/>
        </w:rPr>
        <w:t>Risk Factors</w:t>
      </w:r>
    </w:p>
    <w:p w:rsidR="004F3AD8" w:rsidRPr="0027739A" w:rsidRDefault="00D70058" w:rsidP="00B37C48">
      <w:pPr>
        <w:pStyle w:val="ListParagraph"/>
        <w:numPr>
          <w:ilvl w:val="0"/>
          <w:numId w:val="1"/>
        </w:numPr>
        <w:rPr>
          <w:b/>
          <w:sz w:val="20"/>
        </w:rPr>
      </w:pPr>
      <w:r>
        <w:rPr>
          <w:sz w:val="20"/>
        </w:rPr>
        <w:t>Family history, i</w:t>
      </w:r>
      <w:r w:rsidR="00127091" w:rsidRPr="0027739A">
        <w:rPr>
          <w:sz w:val="20"/>
        </w:rPr>
        <w:t>rritants, contact allergens, dietary factors, inhalant al</w:t>
      </w:r>
      <w:r>
        <w:rPr>
          <w:sz w:val="20"/>
        </w:rPr>
        <w:t>lergens, environmental factors/climate, stress</w:t>
      </w:r>
    </w:p>
    <w:p w:rsidR="00B37C48" w:rsidRPr="0027739A" w:rsidRDefault="00B37C48" w:rsidP="004F3AD8">
      <w:pPr>
        <w:rPr>
          <w:b/>
          <w:sz w:val="20"/>
        </w:rPr>
      </w:pPr>
      <w:r w:rsidRPr="0027739A">
        <w:rPr>
          <w:b/>
          <w:sz w:val="20"/>
        </w:rPr>
        <w:t>Associated conditions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660"/>
        <w:gridCol w:w="2659"/>
        <w:gridCol w:w="2660"/>
      </w:tblGrid>
      <w:tr w:rsidR="004F3AD8" w:rsidRPr="0027739A" w:rsidTr="004F3AD8">
        <w:tc>
          <w:tcPr>
            <w:tcW w:w="2659" w:type="dxa"/>
          </w:tcPr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Asthma</w:t>
            </w:r>
          </w:p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Allergic rhinitis</w:t>
            </w:r>
          </w:p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Food allergy</w:t>
            </w:r>
          </w:p>
          <w:p w:rsidR="004F3AD8" w:rsidRPr="0027739A" w:rsidRDefault="004F3AD8" w:rsidP="00B37C48">
            <w:pPr>
              <w:rPr>
                <w:b/>
                <w:sz w:val="18"/>
              </w:rPr>
            </w:pPr>
          </w:p>
        </w:tc>
        <w:tc>
          <w:tcPr>
            <w:tcW w:w="2660" w:type="dxa"/>
          </w:tcPr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Depression</w:t>
            </w:r>
          </w:p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Sleep disturbance</w:t>
            </w:r>
          </w:p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Acute bronchitis</w:t>
            </w:r>
          </w:p>
          <w:p w:rsidR="004F3AD8" w:rsidRPr="0027739A" w:rsidRDefault="004F3AD8" w:rsidP="00B37C48">
            <w:pPr>
              <w:rPr>
                <w:b/>
                <w:sz w:val="18"/>
              </w:rPr>
            </w:pPr>
          </w:p>
        </w:tc>
        <w:tc>
          <w:tcPr>
            <w:tcW w:w="2659" w:type="dxa"/>
          </w:tcPr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 xml:space="preserve">ADHD and other </w:t>
            </w:r>
          </w:p>
          <w:p w:rsidR="004F3AD8" w:rsidRPr="0027739A" w:rsidRDefault="004F3AD8" w:rsidP="004F3AD8">
            <w:pPr>
              <w:rPr>
                <w:sz w:val="18"/>
              </w:rPr>
            </w:pPr>
            <w:r w:rsidRPr="0027739A">
              <w:rPr>
                <w:sz w:val="18"/>
              </w:rPr>
              <w:t>behavioral disorders</w:t>
            </w:r>
          </w:p>
          <w:p w:rsidR="004F3AD8" w:rsidRPr="0027739A" w:rsidRDefault="004F3AD8" w:rsidP="00B37C48">
            <w:pPr>
              <w:rPr>
                <w:b/>
                <w:sz w:val="18"/>
              </w:rPr>
            </w:pPr>
          </w:p>
        </w:tc>
        <w:tc>
          <w:tcPr>
            <w:tcW w:w="2660" w:type="dxa"/>
          </w:tcPr>
          <w:p w:rsidR="004F3AD8" w:rsidRPr="0027739A" w:rsidRDefault="004F3AD8" w:rsidP="004F3AD8">
            <w:pPr>
              <w:rPr>
                <w:sz w:val="18"/>
              </w:rPr>
            </w:pPr>
            <w:proofErr w:type="spellStart"/>
            <w:r w:rsidRPr="0027739A">
              <w:rPr>
                <w:sz w:val="18"/>
              </w:rPr>
              <w:t>Wiskott</w:t>
            </w:r>
            <w:proofErr w:type="spellEnd"/>
            <w:r w:rsidRPr="0027739A">
              <w:rPr>
                <w:sz w:val="18"/>
              </w:rPr>
              <w:t>-Aldrich syndrome and hyper-</w:t>
            </w:r>
            <w:proofErr w:type="spellStart"/>
            <w:r w:rsidRPr="0027739A">
              <w:rPr>
                <w:sz w:val="18"/>
              </w:rPr>
              <w:t>IgE</w:t>
            </w:r>
            <w:proofErr w:type="spellEnd"/>
            <w:r w:rsidRPr="0027739A">
              <w:rPr>
                <w:sz w:val="18"/>
              </w:rPr>
              <w:t xml:space="preserve"> recurrent infection syndrome</w:t>
            </w:r>
          </w:p>
          <w:p w:rsidR="004F3AD8" w:rsidRPr="0027739A" w:rsidRDefault="004F3AD8" w:rsidP="004F3AD8">
            <w:pPr>
              <w:rPr>
                <w:b/>
                <w:sz w:val="18"/>
              </w:rPr>
            </w:pPr>
          </w:p>
        </w:tc>
      </w:tr>
    </w:tbl>
    <w:p w:rsidR="00127091" w:rsidRPr="0027739A" w:rsidRDefault="00B37C48" w:rsidP="00127091">
      <w:pPr>
        <w:rPr>
          <w:b/>
          <w:sz w:val="20"/>
        </w:rPr>
      </w:pPr>
      <w:r w:rsidRPr="0027739A">
        <w:rPr>
          <w:b/>
          <w:sz w:val="20"/>
        </w:rPr>
        <w:t>Signs</w:t>
      </w:r>
      <w:r w:rsidR="009D1B22" w:rsidRPr="0027739A">
        <w:rPr>
          <w:b/>
          <w:sz w:val="20"/>
        </w:rPr>
        <w:t xml:space="preserve"> </w:t>
      </w:r>
      <w:r w:rsidRPr="0027739A">
        <w:rPr>
          <w:b/>
          <w:sz w:val="20"/>
        </w:rPr>
        <w:t xml:space="preserve">/ </w:t>
      </w:r>
      <w:r w:rsidR="00127091" w:rsidRPr="0027739A">
        <w:rPr>
          <w:b/>
          <w:sz w:val="20"/>
        </w:rPr>
        <w:t>Symptoms</w:t>
      </w:r>
    </w:p>
    <w:p w:rsidR="00B37C48" w:rsidRPr="0027739A" w:rsidRDefault="00B37C48" w:rsidP="00B37C48">
      <w:pPr>
        <w:pStyle w:val="ListParagraph"/>
        <w:numPr>
          <w:ilvl w:val="0"/>
          <w:numId w:val="1"/>
        </w:numPr>
        <w:rPr>
          <w:sz w:val="20"/>
        </w:rPr>
      </w:pPr>
      <w:proofErr w:type="spellStart"/>
      <w:r w:rsidRPr="0027739A">
        <w:rPr>
          <w:sz w:val="20"/>
        </w:rPr>
        <w:t>Pruritis</w:t>
      </w:r>
      <w:proofErr w:type="spellEnd"/>
      <w:r w:rsidRPr="0027739A">
        <w:rPr>
          <w:sz w:val="20"/>
        </w:rPr>
        <w:t xml:space="preserve">, erythema, </w:t>
      </w:r>
      <w:proofErr w:type="spellStart"/>
      <w:r w:rsidR="00D70058">
        <w:rPr>
          <w:sz w:val="20"/>
        </w:rPr>
        <w:t>xerosis</w:t>
      </w:r>
      <w:proofErr w:type="spellEnd"/>
      <w:r w:rsidR="00D70058">
        <w:rPr>
          <w:sz w:val="20"/>
        </w:rPr>
        <w:t xml:space="preserve">, </w:t>
      </w:r>
      <w:r w:rsidRPr="0027739A">
        <w:rPr>
          <w:sz w:val="20"/>
        </w:rPr>
        <w:t>excoriations</w:t>
      </w:r>
      <w:r w:rsidR="00D70058">
        <w:rPr>
          <w:sz w:val="20"/>
        </w:rPr>
        <w:t xml:space="preserve">, </w:t>
      </w:r>
      <w:r w:rsidR="00832072" w:rsidRPr="0027739A">
        <w:rPr>
          <w:sz w:val="20"/>
        </w:rPr>
        <w:t xml:space="preserve"> </w:t>
      </w:r>
      <w:proofErr w:type="spellStart"/>
      <w:r w:rsidR="00D70058" w:rsidRPr="0027739A">
        <w:rPr>
          <w:sz w:val="20"/>
        </w:rPr>
        <w:t>lichenification</w:t>
      </w:r>
      <w:proofErr w:type="spellEnd"/>
      <w:r w:rsidR="00D70058">
        <w:rPr>
          <w:sz w:val="20"/>
        </w:rPr>
        <w:t>,</w:t>
      </w:r>
      <w:r w:rsidR="00D70058" w:rsidRPr="0027739A">
        <w:rPr>
          <w:sz w:val="20"/>
        </w:rPr>
        <w:t xml:space="preserve"> </w:t>
      </w:r>
      <w:r w:rsidR="00832072" w:rsidRPr="0027739A">
        <w:rPr>
          <w:sz w:val="20"/>
        </w:rPr>
        <w:t>cracking, scaling, vesicles, oozing, crusting</w:t>
      </w:r>
    </w:p>
    <w:p w:rsidR="00B37C48" w:rsidRPr="0027739A" w:rsidRDefault="009C1451" w:rsidP="00B37C48">
      <w:pPr>
        <w:pStyle w:val="ListParagraph"/>
        <w:numPr>
          <w:ilvl w:val="0"/>
          <w:numId w:val="1"/>
        </w:numPr>
        <w:rPr>
          <w:sz w:val="20"/>
        </w:rPr>
      </w:pPr>
      <w:r w:rsidRPr="00A83EC2">
        <w:rPr>
          <w:rFonts w:cs="Arial"/>
          <w:b/>
          <w:noProof/>
          <w:color w:val="000000"/>
          <w:sz w:val="20"/>
          <w:szCs w:val="2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3B8437" wp14:editId="1A4BEA8E">
                <wp:simplePos x="0" y="0"/>
                <wp:positionH relativeFrom="column">
                  <wp:posOffset>5024120</wp:posOffset>
                </wp:positionH>
                <wp:positionV relativeFrom="paragraph">
                  <wp:posOffset>233490</wp:posOffset>
                </wp:positionV>
                <wp:extent cx="1840676" cy="1448790"/>
                <wp:effectExtent l="0" t="0" r="762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676" cy="144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451" w:rsidRPr="0093128F" w:rsidRDefault="009C1451" w:rsidP="009C1451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93128F">
                              <w:rPr>
                                <w:b/>
                                <w:sz w:val="16"/>
                              </w:rPr>
                              <w:t>Steroids</w:t>
                            </w:r>
                          </w:p>
                          <w:tbl>
                            <w:tblPr>
                              <w:tblStyle w:val="TableGrid"/>
                              <w:tblW w:w="2430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1620"/>
                            </w:tblGrid>
                            <w:tr w:rsidR="00755A1F" w:rsidRPr="0093128F" w:rsidTr="00D1221E">
                              <w:tc>
                                <w:tcPr>
                                  <w:tcW w:w="810" w:type="dxa"/>
                                </w:tcPr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Low dose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Hydrocortisone</w:t>
                                  </w:r>
                                  <w:r w:rsidR="00755A1F" w:rsidRPr="0093128F">
                                    <w:rPr>
                                      <w:sz w:val="14"/>
                                      <w:szCs w:val="16"/>
                                    </w:rPr>
                                    <w:t xml:space="preserve"> (0.5-2.5%)</w:t>
                                  </w:r>
                                </w:p>
                              </w:tc>
                            </w:tr>
                            <w:tr w:rsidR="00755A1F" w:rsidRPr="0093128F" w:rsidTr="00D1221E">
                              <w:tc>
                                <w:tcPr>
                                  <w:tcW w:w="810" w:type="dxa"/>
                                </w:tcPr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Med dose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proofErr w:type="spellStart"/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Triamcinalone</w:t>
                                  </w:r>
                                  <w:proofErr w:type="spellEnd"/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 xml:space="preserve"> </w:t>
                                  </w:r>
                                  <w:r w:rsidR="00755A1F" w:rsidRPr="0093128F">
                                    <w:rPr>
                                      <w:sz w:val="14"/>
                                      <w:szCs w:val="16"/>
                                    </w:rPr>
                                    <w:t>(0.025-0.1%)</w:t>
                                  </w:r>
                                </w:p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proofErr w:type="spellStart"/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Desonide</w:t>
                                  </w:r>
                                  <w:proofErr w:type="spellEnd"/>
                                  <w:r w:rsidR="00755A1F" w:rsidRPr="0093128F">
                                    <w:rPr>
                                      <w:sz w:val="14"/>
                                      <w:szCs w:val="16"/>
                                    </w:rPr>
                                    <w:t xml:space="preserve"> (0.05%)</w:t>
                                  </w:r>
                                </w:p>
                              </w:tc>
                            </w:tr>
                            <w:tr w:rsidR="00755A1F" w:rsidRPr="0093128F" w:rsidTr="00D1221E">
                              <w:tc>
                                <w:tcPr>
                                  <w:tcW w:w="810" w:type="dxa"/>
                                </w:tcPr>
                                <w:p w:rsidR="00A83EC2" w:rsidRPr="0093128F" w:rsidRDefault="00A83EC2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High dose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755A1F" w:rsidRPr="0093128F" w:rsidRDefault="00755A1F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Betamethasone (0.05%)</w:t>
                                  </w:r>
                                </w:p>
                              </w:tc>
                            </w:tr>
                            <w:tr w:rsidR="00755A1F" w:rsidRPr="0093128F" w:rsidTr="00D1221E">
                              <w:tc>
                                <w:tcPr>
                                  <w:tcW w:w="810" w:type="dxa"/>
                                </w:tcPr>
                                <w:p w:rsidR="00755A1F" w:rsidRPr="0093128F" w:rsidRDefault="00755A1F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Ultra high dose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</w:tcPr>
                                <w:p w:rsidR="00755A1F" w:rsidRPr="0093128F" w:rsidRDefault="00755A1F" w:rsidP="00755A1F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  <w:proofErr w:type="spellStart"/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>Clobetasol</w:t>
                                  </w:r>
                                  <w:proofErr w:type="spellEnd"/>
                                  <w:r w:rsidRPr="0093128F">
                                    <w:rPr>
                                      <w:sz w:val="14"/>
                                      <w:szCs w:val="16"/>
                                    </w:rPr>
                                    <w:t xml:space="preserve"> (0.05%, not used routinely in children)</w:t>
                                  </w:r>
                                </w:p>
                                <w:p w:rsidR="00755A1F" w:rsidRPr="0093128F" w:rsidRDefault="00755A1F">
                                  <w:pPr>
                                    <w:rPr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83EC2" w:rsidRDefault="00A83EC2" w:rsidP="00755A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95.6pt;margin-top:18.4pt;width:144.95pt;height:11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" stroked="f">
                <v:textbox>
                  <w:txbxContent>
                    <w:p w:rsidR="009C1451" w:rsidRPr="0093128F" w:rsidRDefault="009C1451" w:rsidP="009C1451">
                      <w:pPr>
                        <w:spacing w:after="0"/>
                        <w:jc w:val="center"/>
                        <w:rPr>
                          <w:b/>
                          <w:sz w:val="16"/>
                        </w:rPr>
                      </w:pPr>
                      <w:r w:rsidRPr="0093128F">
                        <w:rPr>
                          <w:b/>
                          <w:sz w:val="16"/>
                        </w:rPr>
                        <w:t>Steroids</w:t>
                      </w:r>
                    </w:p>
                    <w:tbl>
                      <w:tblPr>
                        <w:tblStyle w:val="TableGrid"/>
                        <w:tblW w:w="2430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1620"/>
                      </w:tblGrid>
                      <w:tr w:rsidR="00755A1F" w:rsidRPr="0093128F" w:rsidTr="00D1221E">
                        <w:tc>
                          <w:tcPr>
                            <w:tcW w:w="810" w:type="dxa"/>
                          </w:tcPr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Low dose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Hydrocortisone</w:t>
                            </w:r>
                            <w:r w:rsidR="00755A1F" w:rsidRPr="0093128F">
                              <w:rPr>
                                <w:sz w:val="14"/>
                                <w:szCs w:val="16"/>
                              </w:rPr>
                              <w:t xml:space="preserve"> (0.5-2.5%)</w:t>
                            </w:r>
                          </w:p>
                        </w:tc>
                      </w:tr>
                      <w:tr w:rsidR="00755A1F" w:rsidRPr="0093128F" w:rsidTr="00D1221E">
                        <w:tc>
                          <w:tcPr>
                            <w:tcW w:w="810" w:type="dxa"/>
                          </w:tcPr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Med dose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proofErr w:type="spellStart"/>
                            <w:r w:rsidRPr="0093128F">
                              <w:rPr>
                                <w:sz w:val="14"/>
                                <w:szCs w:val="16"/>
                              </w:rPr>
                              <w:t>Triamcinalone</w:t>
                            </w:r>
                            <w:proofErr w:type="spellEnd"/>
                            <w:r w:rsidRPr="0093128F">
                              <w:rPr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755A1F" w:rsidRPr="0093128F">
                              <w:rPr>
                                <w:sz w:val="14"/>
                                <w:szCs w:val="16"/>
                              </w:rPr>
                              <w:t>(0.025-0.1%)</w:t>
                            </w:r>
                          </w:p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proofErr w:type="spellStart"/>
                            <w:r w:rsidRPr="0093128F">
                              <w:rPr>
                                <w:sz w:val="14"/>
                                <w:szCs w:val="16"/>
                              </w:rPr>
                              <w:t>Desonide</w:t>
                            </w:r>
                            <w:proofErr w:type="spellEnd"/>
                            <w:r w:rsidR="00755A1F" w:rsidRPr="0093128F">
                              <w:rPr>
                                <w:sz w:val="14"/>
                                <w:szCs w:val="16"/>
                              </w:rPr>
                              <w:t xml:space="preserve"> (0.05%)</w:t>
                            </w:r>
                          </w:p>
                        </w:tc>
                      </w:tr>
                      <w:tr w:rsidR="00755A1F" w:rsidRPr="0093128F" w:rsidTr="00D1221E">
                        <w:tc>
                          <w:tcPr>
                            <w:tcW w:w="810" w:type="dxa"/>
                          </w:tcPr>
                          <w:p w:rsidR="00A83EC2" w:rsidRPr="0093128F" w:rsidRDefault="00A83EC2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High dose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755A1F" w:rsidRPr="0093128F" w:rsidRDefault="00755A1F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Betamethasone (0.05%)</w:t>
                            </w:r>
                          </w:p>
                        </w:tc>
                      </w:tr>
                      <w:tr w:rsidR="00755A1F" w:rsidRPr="0093128F" w:rsidTr="00D1221E">
                        <w:tc>
                          <w:tcPr>
                            <w:tcW w:w="810" w:type="dxa"/>
                          </w:tcPr>
                          <w:p w:rsidR="00755A1F" w:rsidRPr="0093128F" w:rsidRDefault="00755A1F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93128F">
                              <w:rPr>
                                <w:sz w:val="14"/>
                                <w:szCs w:val="16"/>
                              </w:rPr>
                              <w:t>Ultra high dose</w:t>
                            </w:r>
                          </w:p>
                        </w:tc>
                        <w:tc>
                          <w:tcPr>
                            <w:tcW w:w="1620" w:type="dxa"/>
                          </w:tcPr>
                          <w:p w:rsidR="00755A1F" w:rsidRPr="0093128F" w:rsidRDefault="00755A1F" w:rsidP="00755A1F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proofErr w:type="spellStart"/>
                            <w:r w:rsidRPr="0093128F">
                              <w:rPr>
                                <w:sz w:val="14"/>
                                <w:szCs w:val="16"/>
                              </w:rPr>
                              <w:t>Clobetasol</w:t>
                            </w:r>
                            <w:proofErr w:type="spellEnd"/>
                            <w:r w:rsidRPr="0093128F">
                              <w:rPr>
                                <w:sz w:val="14"/>
                                <w:szCs w:val="16"/>
                              </w:rPr>
                              <w:t xml:space="preserve"> (0.05%, not used routinely in children)</w:t>
                            </w:r>
                          </w:p>
                          <w:p w:rsidR="00755A1F" w:rsidRPr="0093128F" w:rsidRDefault="00755A1F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A83EC2" w:rsidRDefault="00A83EC2" w:rsidP="00755A1F"/>
                  </w:txbxContent>
                </v:textbox>
              </v:shape>
            </w:pict>
          </mc:Fallback>
        </mc:AlternateContent>
      </w:r>
      <w:r w:rsidR="00D70058">
        <w:rPr>
          <w:sz w:val="20"/>
        </w:rPr>
        <w:t>I</w:t>
      </w:r>
      <w:r w:rsidR="00832072" w:rsidRPr="0027739A">
        <w:rPr>
          <w:sz w:val="20"/>
        </w:rPr>
        <w:t xml:space="preserve">chthyosis (large scales), keratosis pilaris (plugging of pores), nipple eczema, </w:t>
      </w:r>
      <w:proofErr w:type="spellStart"/>
      <w:r w:rsidR="00832072" w:rsidRPr="0027739A">
        <w:rPr>
          <w:sz w:val="20"/>
        </w:rPr>
        <w:t>Dennie</w:t>
      </w:r>
      <w:proofErr w:type="spellEnd"/>
      <w:r w:rsidR="00832072" w:rsidRPr="0027739A">
        <w:rPr>
          <w:sz w:val="20"/>
        </w:rPr>
        <w:t xml:space="preserve">-Morgan folds (under lower eyelid), palmar </w:t>
      </w:r>
      <w:proofErr w:type="spellStart"/>
      <w:r w:rsidR="00832072" w:rsidRPr="0027739A">
        <w:rPr>
          <w:sz w:val="20"/>
        </w:rPr>
        <w:t>hyperlinearity</w:t>
      </w:r>
      <w:proofErr w:type="spellEnd"/>
      <w:r w:rsidR="00832072" w:rsidRPr="0027739A">
        <w:rPr>
          <w:sz w:val="20"/>
        </w:rPr>
        <w:t xml:space="preserve"> </w:t>
      </w:r>
      <w:r w:rsidR="00832072" w:rsidRPr="0027739A">
        <w:rPr>
          <w:sz w:val="16"/>
        </w:rPr>
        <w:sym w:font="Wingdings" w:char="F0E0"/>
      </w:r>
      <w:r w:rsidR="00832072" w:rsidRPr="0027739A">
        <w:rPr>
          <w:sz w:val="16"/>
        </w:rPr>
        <w:t xml:space="preserve"> </w:t>
      </w:r>
      <w:r w:rsidR="00832072" w:rsidRPr="0027739A">
        <w:rPr>
          <w:sz w:val="20"/>
        </w:rPr>
        <w:t>tendency toward hand and foot dermatitis</w:t>
      </w:r>
    </w:p>
    <w:p w:rsidR="00127091" w:rsidRPr="0027739A" w:rsidRDefault="00127091" w:rsidP="00127091">
      <w:pPr>
        <w:rPr>
          <w:b/>
          <w:sz w:val="20"/>
        </w:rPr>
      </w:pPr>
      <w:r w:rsidRPr="0027739A">
        <w:rPr>
          <w:b/>
          <w:sz w:val="20"/>
        </w:rPr>
        <w:t>Diagnosis</w:t>
      </w:r>
    </w:p>
    <w:p w:rsidR="00832072" w:rsidRPr="0027739A" w:rsidRDefault="00832072" w:rsidP="0083207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Based on history and physical findings, rarely biopsy</w:t>
      </w:r>
    </w:p>
    <w:p w:rsidR="00832072" w:rsidRPr="009C1451" w:rsidRDefault="00832072" w:rsidP="00832072">
      <w:pPr>
        <w:pStyle w:val="ListParagraph"/>
        <w:numPr>
          <w:ilvl w:val="0"/>
          <w:numId w:val="1"/>
        </w:numPr>
        <w:rPr>
          <w:sz w:val="20"/>
        </w:rPr>
      </w:pPr>
      <w:r w:rsidRPr="009C1451">
        <w:rPr>
          <w:sz w:val="20"/>
        </w:rPr>
        <w:t xml:space="preserve">Associated features can aid in </w:t>
      </w:r>
      <w:r w:rsidR="009C1451" w:rsidRPr="009C1451">
        <w:rPr>
          <w:sz w:val="20"/>
        </w:rPr>
        <w:t>dx</w:t>
      </w:r>
      <w:r w:rsidRPr="009C1451">
        <w:rPr>
          <w:sz w:val="20"/>
        </w:rPr>
        <w:t xml:space="preserve"> but are nonspecific for defining or detecting </w:t>
      </w:r>
      <w:proofErr w:type="spellStart"/>
      <w:r w:rsidR="009C1451">
        <w:rPr>
          <w:sz w:val="20"/>
        </w:rPr>
        <w:t>dz</w:t>
      </w:r>
      <w:proofErr w:type="spellEnd"/>
    </w:p>
    <w:p w:rsidR="00127091" w:rsidRPr="0027739A" w:rsidRDefault="00127091" w:rsidP="00832072">
      <w:pPr>
        <w:rPr>
          <w:b/>
          <w:sz w:val="20"/>
        </w:rPr>
      </w:pPr>
      <w:r w:rsidRPr="0027739A">
        <w:rPr>
          <w:b/>
          <w:sz w:val="20"/>
        </w:rPr>
        <w:t xml:space="preserve">Treatment </w:t>
      </w:r>
    </w:p>
    <w:p w:rsidR="000E32B2" w:rsidRPr="0027739A" w:rsidRDefault="00832072" w:rsidP="000E32B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Avoid possible triggers or irritants</w:t>
      </w:r>
      <w:r w:rsidR="000E32B2" w:rsidRPr="0027739A">
        <w:rPr>
          <w:sz w:val="20"/>
        </w:rPr>
        <w:t xml:space="preserve"> </w:t>
      </w:r>
    </w:p>
    <w:p w:rsidR="000E32B2" w:rsidRPr="0027739A" w:rsidRDefault="000E32B2" w:rsidP="000E32B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 xml:space="preserve">Avoid soap, use </w:t>
      </w:r>
      <w:proofErr w:type="spellStart"/>
      <w:r w:rsidRPr="0027739A">
        <w:rPr>
          <w:sz w:val="20"/>
        </w:rPr>
        <w:t>nonsoap</w:t>
      </w:r>
      <w:proofErr w:type="spellEnd"/>
      <w:r w:rsidRPr="0027739A">
        <w:rPr>
          <w:sz w:val="20"/>
        </w:rPr>
        <w:t xml:space="preserve"> cleansers (</w:t>
      </w:r>
      <w:r w:rsidR="0027739A" w:rsidRPr="0027739A">
        <w:rPr>
          <w:sz w:val="20"/>
        </w:rPr>
        <w:t xml:space="preserve">generally </w:t>
      </w:r>
      <w:r w:rsidRPr="0027739A">
        <w:rPr>
          <w:sz w:val="20"/>
        </w:rPr>
        <w:t xml:space="preserve">neutral to low pH, hypoallergenic, fragrance-free) like </w:t>
      </w:r>
      <w:proofErr w:type="spellStart"/>
      <w:r w:rsidRPr="0027739A">
        <w:rPr>
          <w:sz w:val="20"/>
        </w:rPr>
        <w:t>Cetaphil</w:t>
      </w:r>
      <w:proofErr w:type="spellEnd"/>
      <w:r w:rsidRPr="0027739A">
        <w:rPr>
          <w:sz w:val="20"/>
        </w:rPr>
        <w:t xml:space="preserve">, Dove, </w:t>
      </w:r>
      <w:proofErr w:type="spellStart"/>
      <w:r w:rsidRPr="0027739A">
        <w:rPr>
          <w:sz w:val="20"/>
        </w:rPr>
        <w:t>Aquaphor</w:t>
      </w:r>
      <w:proofErr w:type="spellEnd"/>
      <w:r w:rsidRPr="0027739A">
        <w:rPr>
          <w:sz w:val="20"/>
        </w:rPr>
        <w:t xml:space="preserve"> Gentle Wash, </w:t>
      </w:r>
      <w:proofErr w:type="spellStart"/>
      <w:r w:rsidRPr="0027739A">
        <w:rPr>
          <w:sz w:val="20"/>
        </w:rPr>
        <w:t>Aveeno</w:t>
      </w:r>
      <w:proofErr w:type="spellEnd"/>
      <w:r w:rsidRPr="0027739A">
        <w:rPr>
          <w:sz w:val="20"/>
        </w:rPr>
        <w:t xml:space="preserve">, </w:t>
      </w:r>
      <w:proofErr w:type="spellStart"/>
      <w:r w:rsidRPr="0027739A">
        <w:rPr>
          <w:sz w:val="20"/>
        </w:rPr>
        <w:t>CeraVe</w:t>
      </w:r>
      <w:proofErr w:type="spellEnd"/>
      <w:r w:rsidRPr="0027739A">
        <w:rPr>
          <w:sz w:val="20"/>
        </w:rPr>
        <w:t xml:space="preserve"> or just plain ol’ water  </w:t>
      </w:r>
      <w:r w:rsidRPr="0027739A">
        <w:rPr>
          <w:sz w:val="20"/>
        </w:rPr>
        <w:sym w:font="Wingdings" w:char="F04A"/>
      </w:r>
      <w:r w:rsidR="0027739A" w:rsidRPr="0027739A">
        <w:rPr>
          <w:sz w:val="20"/>
        </w:rPr>
        <w:t xml:space="preserve"> </w:t>
      </w:r>
      <w:r w:rsidR="008601B9">
        <w:rPr>
          <w:sz w:val="20"/>
        </w:rPr>
        <w:t>(also use WARM not HOT water)</w:t>
      </w:r>
    </w:p>
    <w:p w:rsidR="00832072" w:rsidRDefault="00D70058" w:rsidP="00832072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*</w:t>
      </w:r>
      <w:r w:rsidR="00832072" w:rsidRPr="0027739A">
        <w:rPr>
          <w:sz w:val="20"/>
        </w:rPr>
        <w:t xml:space="preserve">Emollients (moisturizers) should be an integral part of </w:t>
      </w:r>
      <w:r w:rsidR="0027739A" w:rsidRPr="0027739A">
        <w:rPr>
          <w:sz w:val="20"/>
        </w:rPr>
        <w:t>treatment and</w:t>
      </w:r>
      <w:r w:rsidR="00C42B90" w:rsidRPr="0027739A">
        <w:rPr>
          <w:sz w:val="20"/>
        </w:rPr>
        <w:t xml:space="preserve"> should be applied immediately after bathing </w:t>
      </w:r>
      <w:r w:rsidR="000E32B2" w:rsidRPr="0027739A">
        <w:rPr>
          <w:sz w:val="20"/>
        </w:rPr>
        <w:t xml:space="preserve">– seal in that moisture! </w:t>
      </w:r>
      <w:r w:rsidR="000E32B2" w:rsidRPr="0027739A">
        <w:rPr>
          <w:noProof/>
          <w:sz w:val="20"/>
        </w:rPr>
        <w:drawing>
          <wp:inline distT="0" distB="0" distL="0" distR="0" wp14:anchorId="275C4060" wp14:editId="191E7CDE">
            <wp:extent cx="133350" cy="133350"/>
            <wp:effectExtent l="0" t="0" r="0" b="0"/>
            <wp:docPr id="3" name="Picture 3" descr="http://pix.iemoji.com/sbemojix2/05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ix.iemoji.com/sbemojix2/056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5335">
        <w:rPr>
          <w:sz w:val="20"/>
        </w:rPr>
        <w:t xml:space="preserve"> </w:t>
      </w:r>
      <w:r w:rsidR="00D1221E">
        <w:rPr>
          <w:sz w:val="20"/>
        </w:rPr>
        <w:t>”Generous lubrication!”</w:t>
      </w:r>
    </w:p>
    <w:p w:rsidR="008601B9" w:rsidRPr="008601B9" w:rsidRDefault="008601B9" w:rsidP="00832072">
      <w:pPr>
        <w:pStyle w:val="ListParagraph"/>
        <w:numPr>
          <w:ilvl w:val="0"/>
          <w:numId w:val="1"/>
        </w:numPr>
        <w:rPr>
          <w:sz w:val="20"/>
        </w:rPr>
      </w:pPr>
      <w:r w:rsidRPr="008601B9">
        <w:rPr>
          <w:sz w:val="20"/>
        </w:rPr>
        <w:t xml:space="preserve">Creams recommended over lotions as lotions can be too </w:t>
      </w:r>
      <w:r w:rsidR="005D5335" w:rsidRPr="008601B9">
        <w:rPr>
          <w:sz w:val="20"/>
        </w:rPr>
        <w:t>water</w:t>
      </w:r>
      <w:r w:rsidR="005D5335">
        <w:rPr>
          <w:sz w:val="20"/>
        </w:rPr>
        <w:t>y</w:t>
      </w:r>
      <w:r w:rsidRPr="008601B9">
        <w:rPr>
          <w:sz w:val="20"/>
        </w:rPr>
        <w:t xml:space="preserve"> and drying (believe it or not!)</w:t>
      </w:r>
      <w:r w:rsidR="00755A1F">
        <w:rPr>
          <w:sz w:val="20"/>
        </w:rPr>
        <w:t xml:space="preserve"> </w:t>
      </w:r>
    </w:p>
    <w:p w:rsidR="000E32B2" w:rsidRPr="0027739A" w:rsidRDefault="000E32B2" w:rsidP="0083207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Pat skin dry rather than rub</w:t>
      </w:r>
    </w:p>
    <w:p w:rsidR="000E32B2" w:rsidRPr="0027739A" w:rsidRDefault="000E32B2" w:rsidP="000E32B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 xml:space="preserve">Elimination diet / food avoidance / </w:t>
      </w:r>
      <w:r w:rsidR="00755A1F">
        <w:rPr>
          <w:sz w:val="20"/>
        </w:rPr>
        <w:t>(</w:t>
      </w:r>
      <w:r w:rsidRPr="0027739A">
        <w:rPr>
          <w:sz w:val="20"/>
        </w:rPr>
        <w:t xml:space="preserve">allergy testing </w:t>
      </w:r>
      <w:r w:rsidR="00755A1F">
        <w:rPr>
          <w:sz w:val="20"/>
        </w:rPr>
        <w:t>in severe cases)</w:t>
      </w:r>
    </w:p>
    <w:p w:rsidR="00755A1F" w:rsidRPr="00755A1F" w:rsidRDefault="000E32B2" w:rsidP="0083207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1</w:t>
      </w:r>
      <w:r w:rsidRPr="0027739A">
        <w:rPr>
          <w:sz w:val="20"/>
          <w:vertAlign w:val="superscript"/>
        </w:rPr>
        <w:t>st</w:t>
      </w:r>
      <w:r w:rsidRPr="0027739A">
        <w:rPr>
          <w:sz w:val="20"/>
        </w:rPr>
        <w:t xml:space="preserve"> line </w:t>
      </w:r>
      <w:r w:rsidR="00DE01FA">
        <w:rPr>
          <w:sz w:val="20"/>
        </w:rPr>
        <w:t>therapy</w:t>
      </w:r>
      <w:r w:rsidR="00936C21">
        <w:rPr>
          <w:sz w:val="20"/>
        </w:rPr>
        <w:t xml:space="preserve"> </w:t>
      </w:r>
      <w:r w:rsidRPr="0027739A">
        <w:rPr>
          <w:sz w:val="20"/>
        </w:rPr>
        <w:t xml:space="preserve">during flares: </w:t>
      </w:r>
      <w:r w:rsidR="00C42B90" w:rsidRPr="0027739A">
        <w:rPr>
          <w:sz w:val="20"/>
        </w:rPr>
        <w:t xml:space="preserve">Topical steroids </w:t>
      </w:r>
      <w:r w:rsidR="00C42B90" w:rsidRPr="00936C21">
        <w:rPr>
          <w:sz w:val="18"/>
        </w:rPr>
        <w:t>(ointment better than cream</w:t>
      </w:r>
      <w:r w:rsidR="00755A1F">
        <w:rPr>
          <w:sz w:val="18"/>
        </w:rPr>
        <w:t xml:space="preserve"> </w:t>
      </w:r>
      <w:r w:rsidR="00755A1F" w:rsidRPr="00755A1F">
        <w:rPr>
          <w:sz w:val="18"/>
        </w:rPr>
        <w:t>except on face, groin, arm pits</w:t>
      </w:r>
      <w:r w:rsidR="00755A1F" w:rsidRPr="00755A1F">
        <w:rPr>
          <w:sz w:val="16"/>
        </w:rPr>
        <w:t xml:space="preserve"> </w:t>
      </w:r>
      <w:r w:rsidR="00755A1F">
        <w:rPr>
          <w:sz w:val="18"/>
        </w:rPr>
        <w:t>)</w:t>
      </w:r>
    </w:p>
    <w:p w:rsidR="00C42B90" w:rsidRPr="0027739A" w:rsidRDefault="000E32B2" w:rsidP="0083207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>2</w:t>
      </w:r>
      <w:r w:rsidRPr="0027739A">
        <w:rPr>
          <w:sz w:val="20"/>
          <w:vertAlign w:val="superscript"/>
        </w:rPr>
        <w:t>nd</w:t>
      </w:r>
      <w:r w:rsidRPr="0027739A">
        <w:rPr>
          <w:sz w:val="20"/>
        </w:rPr>
        <w:t xml:space="preserve"> line therapy during flares: </w:t>
      </w:r>
      <w:r w:rsidR="00C42B90" w:rsidRPr="0027739A">
        <w:rPr>
          <w:sz w:val="20"/>
        </w:rPr>
        <w:t xml:space="preserve">Topical </w:t>
      </w:r>
      <w:proofErr w:type="spellStart"/>
      <w:r w:rsidR="00C42B90" w:rsidRPr="0027739A">
        <w:rPr>
          <w:sz w:val="20"/>
        </w:rPr>
        <w:t>calcineurin</w:t>
      </w:r>
      <w:proofErr w:type="spellEnd"/>
      <w:r w:rsidR="00C42B90" w:rsidRPr="0027739A">
        <w:rPr>
          <w:sz w:val="20"/>
        </w:rPr>
        <w:t xml:space="preserve"> inhibitors</w:t>
      </w:r>
      <w:r w:rsidRPr="0027739A">
        <w:rPr>
          <w:sz w:val="20"/>
        </w:rPr>
        <w:t xml:space="preserve"> like </w:t>
      </w:r>
      <w:proofErr w:type="spellStart"/>
      <w:r w:rsidR="00C42B90" w:rsidRPr="0027739A">
        <w:rPr>
          <w:sz w:val="20"/>
        </w:rPr>
        <w:t>tacrolimus</w:t>
      </w:r>
      <w:proofErr w:type="spellEnd"/>
      <w:r w:rsidR="00C42B90" w:rsidRPr="0027739A">
        <w:rPr>
          <w:sz w:val="20"/>
        </w:rPr>
        <w:t xml:space="preserve"> (</w:t>
      </w:r>
      <w:proofErr w:type="spellStart"/>
      <w:r w:rsidR="00C42B90" w:rsidRPr="0027739A">
        <w:rPr>
          <w:sz w:val="20"/>
        </w:rPr>
        <w:t>Protopic</w:t>
      </w:r>
      <w:proofErr w:type="spellEnd"/>
      <w:r w:rsidR="00D70058">
        <w:rPr>
          <w:sz w:val="20"/>
        </w:rPr>
        <w:t xml:space="preserve"> 0.03-</w:t>
      </w:r>
      <w:r w:rsidR="00D70058">
        <w:rPr>
          <w:sz w:val="20"/>
        </w:rPr>
        <w:t>0.1%</w:t>
      </w:r>
      <w:r w:rsidR="00C42B90" w:rsidRPr="0027739A">
        <w:rPr>
          <w:sz w:val="20"/>
        </w:rPr>
        <w:t>)</w:t>
      </w:r>
      <w:r w:rsidR="00755A1F">
        <w:rPr>
          <w:sz w:val="20"/>
        </w:rPr>
        <w:t xml:space="preserve"> for adults, </w:t>
      </w:r>
      <w:proofErr w:type="spellStart"/>
      <w:r w:rsidR="00D70058">
        <w:rPr>
          <w:sz w:val="20"/>
        </w:rPr>
        <w:t>pimecrolimus</w:t>
      </w:r>
      <w:proofErr w:type="spellEnd"/>
      <w:r w:rsidR="00D70058">
        <w:rPr>
          <w:sz w:val="20"/>
        </w:rPr>
        <w:t xml:space="preserve"> (</w:t>
      </w:r>
      <w:proofErr w:type="spellStart"/>
      <w:r w:rsidR="00755A1F">
        <w:rPr>
          <w:sz w:val="20"/>
        </w:rPr>
        <w:t>Elidel</w:t>
      </w:r>
      <w:proofErr w:type="spellEnd"/>
      <w:r w:rsidR="00755A1F">
        <w:rPr>
          <w:sz w:val="20"/>
        </w:rPr>
        <w:t xml:space="preserve"> 0.03%) </w:t>
      </w:r>
      <w:r w:rsidR="00D70058">
        <w:rPr>
          <w:sz w:val="20"/>
        </w:rPr>
        <w:t>for</w:t>
      </w:r>
      <w:r w:rsidR="00755A1F">
        <w:rPr>
          <w:sz w:val="20"/>
        </w:rPr>
        <w:t xml:space="preserve"> children</w:t>
      </w:r>
    </w:p>
    <w:p w:rsidR="000E32B2" w:rsidRDefault="000E32B2" w:rsidP="00832072">
      <w:pPr>
        <w:pStyle w:val="ListParagraph"/>
        <w:numPr>
          <w:ilvl w:val="0"/>
          <w:numId w:val="1"/>
        </w:numPr>
        <w:rPr>
          <w:sz w:val="20"/>
        </w:rPr>
      </w:pPr>
      <w:r w:rsidRPr="0027739A">
        <w:rPr>
          <w:sz w:val="20"/>
        </w:rPr>
        <w:t xml:space="preserve">Saran wrap over small areas and/or gloves at night for </w:t>
      </w:r>
      <w:r w:rsidR="00F000AD" w:rsidRPr="0027739A">
        <w:rPr>
          <w:sz w:val="20"/>
        </w:rPr>
        <w:t>mod</w:t>
      </w:r>
      <w:r w:rsidR="0027739A" w:rsidRPr="0027739A">
        <w:rPr>
          <w:sz w:val="20"/>
        </w:rPr>
        <w:t>-</w:t>
      </w:r>
      <w:r w:rsidRPr="0027739A">
        <w:rPr>
          <w:sz w:val="20"/>
        </w:rPr>
        <w:t>severe symptoms (not to be used if inf</w:t>
      </w:r>
      <w:r w:rsidR="00755A1F">
        <w:rPr>
          <w:sz w:val="20"/>
        </w:rPr>
        <w:t>ection</w:t>
      </w:r>
      <w:r w:rsidR="0027739A" w:rsidRPr="0027739A">
        <w:rPr>
          <w:sz w:val="20"/>
        </w:rPr>
        <w:t xml:space="preserve"> present)</w:t>
      </w:r>
    </w:p>
    <w:p w:rsidR="00D1221E" w:rsidRDefault="00D1221E" w:rsidP="00832072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Antihistamines PRN for pruritus </w:t>
      </w:r>
      <w:r w:rsidR="00612697" w:rsidRPr="00D42FBA">
        <w:rPr>
          <w:sz w:val="18"/>
        </w:rPr>
        <w:sym w:font="Wingdings" w:char="F0E0"/>
      </w:r>
      <w:r w:rsidR="00612697">
        <w:rPr>
          <w:sz w:val="20"/>
        </w:rPr>
        <w:t xml:space="preserve"> do all you can to avoid </w:t>
      </w:r>
      <w:r w:rsidR="00D70058">
        <w:rPr>
          <w:sz w:val="20"/>
        </w:rPr>
        <w:t xml:space="preserve">scratching and </w:t>
      </w:r>
      <w:r w:rsidR="00612697">
        <w:rPr>
          <w:sz w:val="20"/>
        </w:rPr>
        <w:t xml:space="preserve">infection, </w:t>
      </w:r>
      <w:r>
        <w:rPr>
          <w:sz w:val="20"/>
        </w:rPr>
        <w:t>also trim and file nails regularly</w:t>
      </w:r>
    </w:p>
    <w:p w:rsidR="00936C21" w:rsidRPr="0027739A" w:rsidRDefault="00936C21" w:rsidP="00832072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Treat bacterial, fungal or viral superinfection if present</w:t>
      </w:r>
      <w:r w:rsidR="00D42FBA">
        <w:rPr>
          <w:sz w:val="20"/>
        </w:rPr>
        <w:t>. R</w:t>
      </w:r>
      <w:r w:rsidR="00D1221E">
        <w:rPr>
          <w:sz w:val="20"/>
        </w:rPr>
        <w:t>emember to culture so you know what you’re treating!</w:t>
      </w:r>
    </w:p>
    <w:tbl>
      <w:tblPr>
        <w:tblStyle w:val="MediumList1-Accent1"/>
        <w:tblW w:w="0" w:type="auto"/>
        <w:tblInd w:w="720" w:type="dxa"/>
        <w:tblLook w:val="04A0" w:firstRow="1" w:lastRow="0" w:firstColumn="1" w:lastColumn="0" w:noHBand="0" w:noVBand="1"/>
      </w:tblPr>
      <w:tblGrid>
        <w:gridCol w:w="2367"/>
        <w:gridCol w:w="1913"/>
        <w:gridCol w:w="2318"/>
        <w:gridCol w:w="2077"/>
      </w:tblGrid>
      <w:tr w:rsidR="00F000AD" w:rsidRPr="00F000AD" w:rsidTr="00936C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asciiTheme="minorHAnsi" w:eastAsia="Times New Roman" w:hAnsiTheme="minorHAnsi" w:cs="Tahoma"/>
                <w:color w:val="333333"/>
                <w:sz w:val="18"/>
                <w:szCs w:val="18"/>
              </w:rPr>
            </w:pPr>
            <w:r w:rsidRPr="00F000AD">
              <w:rPr>
                <w:rFonts w:asciiTheme="minorHAnsi" w:eastAsia="Times New Roman" w:hAnsiTheme="minorHAnsi" w:cs="Tahoma"/>
                <w:color w:val="333333"/>
                <w:sz w:val="18"/>
                <w:szCs w:val="18"/>
              </w:rPr>
              <w:t>Treatment Options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</w:pPr>
            <w:r w:rsidRPr="00F000AD"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  <w:t>Mild Atopic Dermatitis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</w:pPr>
            <w:r w:rsidRPr="00F000AD"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  <w:t>Moderate Atopic Dermatitis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</w:pPr>
            <w:r w:rsidRPr="00F000AD">
              <w:rPr>
                <w:rFonts w:asciiTheme="minorHAnsi" w:eastAsia="Times New Roman" w:hAnsiTheme="minorHAnsi" w:cs="Tahoma"/>
                <w:b/>
                <w:bCs/>
                <w:color w:val="333333"/>
                <w:sz w:val="18"/>
                <w:szCs w:val="18"/>
              </w:rPr>
              <w:t>Severe Atopic Dermatitis</w:t>
            </w:r>
          </w:p>
        </w:tc>
      </w:tr>
      <w:tr w:rsidR="00F000AD" w:rsidRPr="00F000AD" w:rsidTr="00936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Emollients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</w:tr>
      <w:tr w:rsidR="00F000AD" w:rsidRPr="00F000AD" w:rsidTr="00936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Topical corticosteroids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Mild potency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Moderate potency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Potent</w:t>
            </w:r>
          </w:p>
        </w:tc>
      </w:tr>
      <w:tr w:rsidR="00F000AD" w:rsidRPr="00F000AD" w:rsidTr="00936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 xml:space="preserve">Topical </w:t>
            </w:r>
            <w:proofErr w:type="spellStart"/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calcineurin</w:t>
            </w:r>
            <w:proofErr w:type="spellEnd"/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 xml:space="preserve"> inhibitors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</w:tr>
      <w:tr w:rsidR="00F000AD" w:rsidRPr="00F000AD" w:rsidTr="00936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Bandages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</w:tr>
      <w:tr w:rsidR="00F000AD" w:rsidRPr="00F000AD" w:rsidTr="00936C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Phototherapy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</w:tr>
      <w:tr w:rsidR="00F000AD" w:rsidRPr="00F000AD" w:rsidTr="00936C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Systemic therapy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No</w:t>
            </w:r>
          </w:p>
        </w:tc>
        <w:tc>
          <w:tcPr>
            <w:tcW w:w="0" w:type="auto"/>
            <w:hideMark/>
          </w:tcPr>
          <w:p w:rsidR="00F000AD" w:rsidRPr="00F000AD" w:rsidRDefault="00F000AD" w:rsidP="00F000AD">
            <w:pPr>
              <w:spacing w:line="2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color w:val="333333"/>
                <w:sz w:val="18"/>
                <w:szCs w:val="18"/>
              </w:rPr>
            </w:pPr>
            <w:r w:rsidRPr="00F000AD">
              <w:rPr>
                <w:rFonts w:eastAsia="Times New Roman" w:cs="Tahoma"/>
                <w:color w:val="333333"/>
                <w:sz w:val="18"/>
                <w:szCs w:val="18"/>
              </w:rPr>
              <w:t>Yes</w:t>
            </w:r>
          </w:p>
        </w:tc>
      </w:tr>
    </w:tbl>
    <w:p w:rsidR="00F000AD" w:rsidRPr="00F000AD" w:rsidRDefault="009C1451">
      <w:r>
        <w:rPr>
          <w:rFonts w:cs="Arial"/>
          <w:b/>
          <w:color w:val="000000"/>
          <w:sz w:val="20"/>
          <w:szCs w:val="20"/>
          <w:shd w:val="clear" w:color="auto" w:fill="FFFFFF"/>
        </w:rPr>
        <w:br/>
      </w:r>
      <w:r w:rsidR="008601B9" w:rsidRPr="00936C21">
        <w:rPr>
          <w:rFonts w:cs="Arial"/>
          <w:b/>
          <w:color w:val="000000"/>
          <w:sz w:val="20"/>
          <w:szCs w:val="20"/>
          <w:shd w:val="clear" w:color="auto" w:fill="FFFFFF"/>
        </w:rPr>
        <w:t>Pt instructions:</w:t>
      </w:r>
      <w:r w:rsidR="008601B9">
        <w:rPr>
          <w:rFonts w:cs="Arial"/>
          <w:color w:val="000000"/>
          <w:sz w:val="20"/>
          <w:szCs w:val="20"/>
          <w:shd w:val="clear" w:color="auto" w:fill="FFFFFF"/>
        </w:rPr>
        <w:t xml:space="preserve"> .SCECZEMACARE or the </w:t>
      </w:r>
      <w:r w:rsidR="00936C21">
        <w:rPr>
          <w:rFonts w:cs="Arial"/>
          <w:color w:val="000000"/>
          <w:sz w:val="20"/>
          <w:szCs w:val="20"/>
          <w:shd w:val="clear" w:color="auto" w:fill="FFFFFF"/>
        </w:rPr>
        <w:t xml:space="preserve">default </w:t>
      </w:r>
      <w:r w:rsidR="008601B9">
        <w:rPr>
          <w:rFonts w:cs="Arial"/>
          <w:color w:val="000000"/>
          <w:sz w:val="20"/>
          <w:szCs w:val="20"/>
          <w:shd w:val="clear" w:color="auto" w:fill="FFFFFF"/>
        </w:rPr>
        <w:t>“Eczema” instructions</w:t>
      </w:r>
      <w:r w:rsidR="00936C21">
        <w:rPr>
          <w:rFonts w:cs="Arial"/>
          <w:color w:val="000000"/>
          <w:sz w:val="20"/>
          <w:szCs w:val="20"/>
          <w:shd w:val="clear" w:color="auto" w:fill="FFFFFF"/>
        </w:rPr>
        <w:t xml:space="preserve"> in Epic. </w:t>
      </w:r>
      <w:r w:rsidR="00936C21" w:rsidRPr="00936C21">
        <w:rPr>
          <w:rFonts w:cs="Arial"/>
          <w:b/>
          <w:color w:val="000000"/>
          <w:sz w:val="20"/>
          <w:szCs w:val="20"/>
          <w:shd w:val="clear" w:color="auto" w:fill="FFFFFF"/>
        </w:rPr>
        <w:t>References</w:t>
      </w:r>
      <w:r w:rsidR="00936C21">
        <w:rPr>
          <w:rFonts w:cs="Arial"/>
          <w:color w:val="000000"/>
          <w:sz w:val="20"/>
          <w:szCs w:val="20"/>
          <w:shd w:val="clear" w:color="auto" w:fill="FFFFFF"/>
        </w:rPr>
        <w:t xml:space="preserve">: </w:t>
      </w:r>
      <w:proofErr w:type="spellStart"/>
      <w:r w:rsidR="00936C21">
        <w:rPr>
          <w:rFonts w:cs="Arial"/>
          <w:color w:val="000000"/>
          <w:sz w:val="20"/>
          <w:szCs w:val="20"/>
          <w:shd w:val="clear" w:color="auto" w:fill="FFFFFF"/>
        </w:rPr>
        <w:t>DynaMed</w:t>
      </w:r>
      <w:proofErr w:type="spellEnd"/>
      <w:r w:rsidR="00936C21">
        <w:rPr>
          <w:rFonts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936C21">
        <w:rPr>
          <w:rFonts w:cs="Arial"/>
          <w:color w:val="000000"/>
          <w:sz w:val="20"/>
          <w:szCs w:val="20"/>
          <w:shd w:val="clear" w:color="auto" w:fill="FFFFFF"/>
        </w:rPr>
        <w:t>UpToDate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</w:rPr>
        <w:t xml:space="preserve">, </w:t>
      </w:r>
      <w:r w:rsidR="00DF5307">
        <w:rPr>
          <w:rFonts w:cs="Arial"/>
          <w:color w:val="000000"/>
          <w:sz w:val="20"/>
          <w:szCs w:val="20"/>
          <w:shd w:val="clear" w:color="auto" w:fill="FFFFFF"/>
        </w:rPr>
        <w:t xml:space="preserve">AAFP, </w:t>
      </w:r>
      <w:bookmarkStart w:id="0" w:name="_GoBack"/>
      <w:bookmarkEnd w:id="0"/>
      <w:r>
        <w:rPr>
          <w:rFonts w:cs="Arial"/>
          <w:color w:val="000000"/>
          <w:sz w:val="20"/>
          <w:szCs w:val="20"/>
          <w:shd w:val="clear" w:color="auto" w:fill="FFFFFF"/>
        </w:rPr>
        <w:t xml:space="preserve">Dr. </w:t>
      </w:r>
      <w:proofErr w:type="spellStart"/>
      <w:r>
        <w:rPr>
          <w:rFonts w:cs="Arial"/>
          <w:color w:val="000000"/>
          <w:sz w:val="20"/>
          <w:szCs w:val="20"/>
          <w:shd w:val="clear" w:color="auto" w:fill="FFFFFF"/>
        </w:rPr>
        <w:t>Mbanugo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</w:rPr>
        <w:t>.</w:t>
      </w:r>
    </w:p>
    <w:sectPr w:rsidR="00F000AD" w:rsidRPr="00F000AD" w:rsidSect="004F3A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E6ED3"/>
    <w:multiLevelType w:val="hybridMultilevel"/>
    <w:tmpl w:val="D12ABC92"/>
    <w:lvl w:ilvl="0" w:tplc="9432E7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78"/>
    <w:rsid w:val="000E32B2"/>
    <w:rsid w:val="000F0DA8"/>
    <w:rsid w:val="00127091"/>
    <w:rsid w:val="0027739A"/>
    <w:rsid w:val="00290003"/>
    <w:rsid w:val="0032491D"/>
    <w:rsid w:val="004F3AD8"/>
    <w:rsid w:val="00505566"/>
    <w:rsid w:val="005D5335"/>
    <w:rsid w:val="00612697"/>
    <w:rsid w:val="00755A1F"/>
    <w:rsid w:val="00832072"/>
    <w:rsid w:val="008601B9"/>
    <w:rsid w:val="0093128F"/>
    <w:rsid w:val="00936C21"/>
    <w:rsid w:val="009C1451"/>
    <w:rsid w:val="009C6F4B"/>
    <w:rsid w:val="009D1B22"/>
    <w:rsid w:val="00A83EC2"/>
    <w:rsid w:val="00B37C48"/>
    <w:rsid w:val="00C42B90"/>
    <w:rsid w:val="00C60FD3"/>
    <w:rsid w:val="00D1221E"/>
    <w:rsid w:val="00D42FBA"/>
    <w:rsid w:val="00D70058"/>
    <w:rsid w:val="00DD1678"/>
    <w:rsid w:val="00DE01FA"/>
    <w:rsid w:val="00DF5307"/>
    <w:rsid w:val="00E30BD3"/>
    <w:rsid w:val="00F0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27091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F000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F000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1">
    <w:name w:val="Medium List 1 Accent 1"/>
    <w:basedOn w:val="TableNormal"/>
    <w:uiPriority w:val="65"/>
    <w:rsid w:val="00F000A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4F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27091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F000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F000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1">
    <w:name w:val="Medium List 1 Accent 1"/>
    <w:basedOn w:val="TableNormal"/>
    <w:uiPriority w:val="65"/>
    <w:rsid w:val="00F000A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59"/>
    <w:rsid w:val="004F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W. Cheng</dc:creator>
  <cp:lastModifiedBy>Elizabeth Berryman</cp:lastModifiedBy>
  <cp:revision>3</cp:revision>
  <cp:lastPrinted>2015-02-17T04:30:00Z</cp:lastPrinted>
  <dcterms:created xsi:type="dcterms:W3CDTF">2015-02-17T15:30:00Z</dcterms:created>
  <dcterms:modified xsi:type="dcterms:W3CDTF">2015-02-17T15:41:00Z</dcterms:modified>
</cp:coreProperties>
</file>