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6C8" w:rsidRDefault="006646C8" w:rsidP="00664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6646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Chronic Pelvic Pain</w:t>
      </w:r>
    </w:p>
    <w:p w:rsidR="006646C8" w:rsidRDefault="006646C8" w:rsidP="00664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Behavioral Med Toolkit</w:t>
      </w:r>
    </w:p>
    <w:p w:rsidR="006646C8" w:rsidRPr="006646C8" w:rsidRDefault="006646C8" w:rsidP="006646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Kaya Belknap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Definition: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Six months of pain below the umbilicus that is severe enough to cause functional disability or require treatment.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15-20% of women in the US have pain &gt;1year. Worldwide 5.7-26.6% of women depending on area/study type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10% of gynecological referrals and the cause of 20% of benign hysterectomies and 40% of all gynecological laparoscopies in the US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46.8% of women with CPP report h/o sexual or physical trauma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Causes: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Most common: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Endometriosis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Pelvic adhesions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Interstitial</w:t>
      </w:r>
      <w:proofErr w:type="gram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cystitis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Irritable bowel syndrome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Others: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Gynecologic (CA, PID, 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leiomyomata</w:t>
      </w:r>
      <w:proofErr w:type="spell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post-op peritoneal cysts, 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adenomyocytis</w:t>
      </w:r>
      <w:proofErr w:type="spell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, non-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endometriotic</w:t>
      </w:r>
      <w:proofErr w:type="spell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adnexal cysts, IUD, prolapse, cervical stenosis, TB 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salpingitis</w:t>
      </w:r>
      <w:proofErr w:type="spell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, ovarian remnant syndrome, pelvic congestion syndrome)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Urologic (CA, constipation, IBD, colitis, chronic intermittent bowel obstruction, diverticulitis, celiac dx)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MSK (trigger points, chronic back/coccygeal pain, poor posture, fibromyalgia, neuralgia, pelvic floor myalgia, herniated/compressed disc, DJD, hernia, strains/sprains, spondylosis)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Pregnancy related (MSK due to vacuum/forceps delivery, LGA infant, C-section; pelvic girdle syndrome (can last up to 2 years after delivery)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Surgical (nerve entrapment, adhesions, 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sx</w:t>
      </w:r>
      <w:proofErr w:type="spell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such as abdominal, pelvic, urinary, cervical)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Psychological (somatization d/o, bipolar d/o, physical or sexual abuse)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Diagnosis: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History and Physical:</w:t>
      </w:r>
    </w:p>
    <w:p w:rsidR="006646C8" w:rsidRPr="006646C8" w:rsidRDefault="00817FDD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5" w:tgtFrame="_blank" w:history="1">
        <w:r w:rsidR="006646C8" w:rsidRPr="006646C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http://www.pelvicpain.org/docs/resources/forms/History-and-Physical-Form-English.aspx</w:t>
        </w:r>
      </w:hyperlink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Don't</w:t>
      </w:r>
      <w:proofErr w:type="gram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forget to ask about previous trauma: sexual, physical or psychological abuse, domestic violence, substance abuse. The best way is to just ask! Or use screening tools – PHQ9, PSTD screen, </w:t>
      </w:r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2 question screener for substance abuse/alcohol</w:t>
      </w:r>
      <w:proofErr w:type="gramEnd"/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Pain diary with relation to menses, mood, medication, bowel/bladder function, coitus, physical activity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Physical exam can be very painful or traumatizing if they have a history of abuse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lastRenderedPageBreak/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Looking</w:t>
      </w:r>
      <w:proofErr w:type="gram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tenderness on abdominal exam and pelvic exam that correlates to their pain map/symptom description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Labs: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CBC, ESR, UA, STDs (</w:t>
      </w:r>
      <w:proofErr w:type="spellStart"/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esp</w:t>
      </w:r>
      <w:proofErr w:type="spellEnd"/>
      <w:proofErr w:type="gram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Chlamydia/gonorrhea), Pregnancy test, CA-125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Imaging: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Pelvic ultrasound – r/o mass, cysts or determine origin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MRI (if 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sono</w:t>
      </w:r>
      <w:proofErr w:type="spell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positive) to further identify lesion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Cystoscopy, CT, colonoscopy, barium enema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Laparoscopic surgery: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r/o endometriosis, adnexal mass, adhesions, uterine abnormalities, PID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proofErr w:type="gram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consider pain mapping (with local anesthesia)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Findings: NO visible pathology -35%, endometriosis 33%, adhesions 24%, chronic PID 5%, ovarian cysts 3%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Do</w:t>
      </w:r>
      <w:proofErr w:type="gram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not need laparoscopic evidence to start 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tx</w:t>
      </w:r>
      <w:proofErr w:type="spell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endometriosis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Lysis of adhesions does not necessarily help pain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Treatment: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Hormonal therapy – combined OCPs, 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GnRH</w:t>
      </w:r>
      <w:proofErr w:type="spell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agonists, high-dose progestin,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Pain control – NSAIDs, COX2 inhibitors, opioids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Vit</w:t>
      </w:r>
      <w:proofErr w:type="spell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B1 or magnesium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Antidepressants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Laparoscopy – destruction of endometriosis, adhesion lysis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spellStart"/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Presacral</w:t>
      </w:r>
      <w:proofErr w:type="spellEnd"/>
      <w:proofErr w:type="gram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neurectomy</w:t>
      </w:r>
      <w:proofErr w:type="spellEnd"/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Hysterectomy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Sacral</w:t>
      </w:r>
      <w:proofErr w:type="gramEnd"/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nerve stimulation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Trigger point injections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Diet changes for IBS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Counseling – may help even if it doesn’t improve pain and may improve response to medical treatment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Counseling supported by u/s</w:t>
      </w:r>
    </w:p>
    <w:p w:rsidR="006646C8" w:rsidRPr="006646C8" w:rsidRDefault="006646C8" w:rsidP="006646C8">
      <w:pPr>
        <w:shd w:val="clear" w:color="auto" w:fill="FFFFFF"/>
        <w:spacing w:after="0" w:line="240" w:lineRule="auto"/>
        <w:ind w:left="1069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6646C8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6646C8">
        <w:rPr>
          <w:rFonts w:ascii="Times New Roman" w:eastAsia="Times New Roman" w:hAnsi="Times New Roman" w:cs="Times New Roman"/>
          <w:color w:val="000000"/>
          <w:sz w:val="24"/>
          <w:szCs w:val="24"/>
        </w:rPr>
        <w:t>PT – pelvic floor muscles</w:t>
      </w:r>
    </w:p>
    <w:p w:rsidR="006646C8" w:rsidRPr="006646C8" w:rsidRDefault="006646C8" w:rsidP="00664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6646C8">
        <w:rPr>
          <w:rFonts w:ascii="Arial" w:eastAsia="Times New Roman" w:hAnsi="Arial" w:cs="Arial"/>
          <w:color w:val="222222"/>
          <w:sz w:val="20"/>
          <w:szCs w:val="20"/>
        </w:rPr>
        <w:t> </w:t>
      </w:r>
    </w:p>
    <w:p w:rsidR="005328FA" w:rsidRDefault="005328FA"/>
    <w:sectPr w:rsidR="00532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C8"/>
    <w:rsid w:val="005328FA"/>
    <w:rsid w:val="006646C8"/>
    <w:rsid w:val="0081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646C8"/>
  </w:style>
  <w:style w:type="character" w:styleId="Hyperlink">
    <w:name w:val="Hyperlink"/>
    <w:basedOn w:val="DefaultParagraphFont"/>
    <w:uiPriority w:val="99"/>
    <w:semiHidden/>
    <w:unhideWhenUsed/>
    <w:rsid w:val="006646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646C8"/>
  </w:style>
  <w:style w:type="character" w:styleId="Hyperlink">
    <w:name w:val="Hyperlink"/>
    <w:basedOn w:val="DefaultParagraphFont"/>
    <w:uiPriority w:val="99"/>
    <w:semiHidden/>
    <w:unhideWhenUsed/>
    <w:rsid w:val="006646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lvicpain.org/docs/resources/forms/History-and-Physical-Form-Englis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&amp; CLINICS, RMC</dc:creator>
  <cp:lastModifiedBy>Joann Valencia</cp:lastModifiedBy>
  <cp:revision>2</cp:revision>
  <dcterms:created xsi:type="dcterms:W3CDTF">2015-03-05T19:32:00Z</dcterms:created>
  <dcterms:modified xsi:type="dcterms:W3CDTF">2015-03-05T19:32:00Z</dcterms:modified>
</cp:coreProperties>
</file>