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05182F" w14:textId="77777777" w:rsidR="00D44D80" w:rsidRPr="001C648D" w:rsidRDefault="00D22D42" w:rsidP="00D44D80">
      <w:pPr>
        <w:jc w:val="right"/>
        <w:rPr>
          <w:sz w:val="20"/>
          <w:szCs w:val="20"/>
        </w:rPr>
      </w:pPr>
      <w:r w:rsidRPr="001C648D">
        <w:rPr>
          <w:sz w:val="20"/>
          <w:szCs w:val="20"/>
        </w:rPr>
        <w:t>Mena Ramos, MD</w:t>
      </w:r>
    </w:p>
    <w:p w14:paraId="357D8D1B" w14:textId="77777777" w:rsidR="00D22D42" w:rsidRDefault="00D44D80" w:rsidP="00D22D42">
      <w:pPr>
        <w:jc w:val="center"/>
        <w:rPr>
          <w:sz w:val="20"/>
          <w:szCs w:val="20"/>
        </w:rPr>
      </w:pPr>
      <w:r>
        <w:rPr>
          <w:sz w:val="20"/>
          <w:szCs w:val="20"/>
        </w:rPr>
        <w:t>An update from the Chronic Pain Guidelines Nov 2014</w:t>
      </w:r>
    </w:p>
    <w:p w14:paraId="2C9B09F8" w14:textId="77777777" w:rsidR="00D44D80" w:rsidRPr="001C648D" w:rsidRDefault="00D44D80" w:rsidP="00D44D80">
      <w:pPr>
        <w:jc w:val="center"/>
        <w:rPr>
          <w:sz w:val="20"/>
          <w:szCs w:val="20"/>
        </w:rPr>
      </w:pPr>
      <w:r w:rsidRPr="001C648D">
        <w:rPr>
          <w:sz w:val="20"/>
          <w:szCs w:val="20"/>
        </w:rPr>
        <w:t>“Effective pain relief improves functioning whereas addiction decreases functionality”</w:t>
      </w:r>
    </w:p>
    <w:p w14:paraId="52DA3BAB" w14:textId="77777777" w:rsidR="00D22D42" w:rsidRPr="001C648D" w:rsidRDefault="00D22D42" w:rsidP="00D22D42">
      <w:pPr>
        <w:rPr>
          <w:sz w:val="20"/>
          <w:szCs w:val="20"/>
        </w:rPr>
      </w:pPr>
      <w:r w:rsidRPr="001C648D">
        <w:rPr>
          <w:sz w:val="20"/>
          <w:szCs w:val="20"/>
        </w:rPr>
        <w:t>Background:</w:t>
      </w:r>
    </w:p>
    <w:p w14:paraId="19300164" w14:textId="77777777" w:rsidR="00D22D42" w:rsidRPr="001C648D" w:rsidRDefault="00D22D42" w:rsidP="00D44D80">
      <w:pPr>
        <w:pStyle w:val="ListParagraph"/>
        <w:numPr>
          <w:ilvl w:val="0"/>
          <w:numId w:val="4"/>
        </w:numPr>
        <w:ind w:left="720"/>
        <w:rPr>
          <w:sz w:val="20"/>
          <w:szCs w:val="20"/>
        </w:rPr>
      </w:pPr>
      <w:r w:rsidRPr="001C648D">
        <w:rPr>
          <w:sz w:val="20"/>
          <w:szCs w:val="20"/>
        </w:rPr>
        <w:t xml:space="preserve">Nov 2011, CDC declares prescription drug abuse </w:t>
      </w:r>
      <w:r w:rsidR="00D44D80">
        <w:rPr>
          <w:sz w:val="20"/>
          <w:szCs w:val="20"/>
        </w:rPr>
        <w:t xml:space="preserve">a </w:t>
      </w:r>
      <w:r w:rsidRPr="001C648D">
        <w:rPr>
          <w:sz w:val="20"/>
          <w:szCs w:val="20"/>
        </w:rPr>
        <w:t>nationwide epidemic</w:t>
      </w:r>
    </w:p>
    <w:p w14:paraId="61B20CE1" w14:textId="77777777" w:rsidR="00D22D42" w:rsidRPr="001C648D" w:rsidRDefault="00D22D42" w:rsidP="00D44D80">
      <w:pPr>
        <w:pStyle w:val="ListParagraph"/>
        <w:numPr>
          <w:ilvl w:val="0"/>
          <w:numId w:val="3"/>
        </w:numPr>
        <w:ind w:left="720"/>
        <w:rPr>
          <w:sz w:val="20"/>
          <w:szCs w:val="20"/>
        </w:rPr>
      </w:pPr>
      <w:r w:rsidRPr="00D44D80">
        <w:rPr>
          <w:b/>
          <w:sz w:val="20"/>
          <w:szCs w:val="20"/>
        </w:rPr>
        <w:t>Drug overdose is now the leading cause of accidental deaths</w:t>
      </w:r>
      <w:r w:rsidRPr="001C648D">
        <w:rPr>
          <w:sz w:val="20"/>
          <w:szCs w:val="20"/>
        </w:rPr>
        <w:t xml:space="preserve">, exceeding deaths due to MVA’s, </w:t>
      </w:r>
      <w:r w:rsidR="00D44D80">
        <w:rPr>
          <w:sz w:val="20"/>
          <w:szCs w:val="20"/>
        </w:rPr>
        <w:t>the majority of which due to overdose</w:t>
      </w:r>
      <w:r w:rsidRPr="001C648D">
        <w:rPr>
          <w:sz w:val="20"/>
          <w:szCs w:val="20"/>
        </w:rPr>
        <w:t xml:space="preserve"> involving prescription drugs</w:t>
      </w:r>
    </w:p>
    <w:p w14:paraId="06A4EC62" w14:textId="77777777" w:rsidR="00D22D42" w:rsidRPr="001C648D" w:rsidRDefault="00D22D42" w:rsidP="00D44D80">
      <w:pPr>
        <w:pStyle w:val="ListParagraph"/>
        <w:numPr>
          <w:ilvl w:val="0"/>
          <w:numId w:val="3"/>
        </w:numPr>
        <w:ind w:left="720"/>
        <w:rPr>
          <w:sz w:val="20"/>
          <w:szCs w:val="20"/>
        </w:rPr>
      </w:pPr>
      <w:r w:rsidRPr="001C648D">
        <w:rPr>
          <w:sz w:val="20"/>
          <w:szCs w:val="20"/>
        </w:rPr>
        <w:t xml:space="preserve">Long term opioid therapy should ONLY be conducted in practice settings where careful evaluation, regular follow-up, and close supervision </w:t>
      </w:r>
      <w:r w:rsidR="00D44D80">
        <w:rPr>
          <w:sz w:val="20"/>
          <w:szCs w:val="20"/>
        </w:rPr>
        <w:t xml:space="preserve">are </w:t>
      </w:r>
      <w:r w:rsidRPr="001C648D">
        <w:rPr>
          <w:sz w:val="20"/>
          <w:szCs w:val="20"/>
        </w:rPr>
        <w:t>ensured… deviations from these guidelines will occur and may be appropriate depending on unique individual needs…  and physicians encouraged to document their rationale for each prescribing decision</w:t>
      </w:r>
    </w:p>
    <w:p w14:paraId="000D1A83" w14:textId="77777777" w:rsidR="001C648D" w:rsidRPr="001C648D" w:rsidRDefault="001C648D" w:rsidP="00D44D80">
      <w:pPr>
        <w:pStyle w:val="ListParagraph"/>
        <w:numPr>
          <w:ilvl w:val="0"/>
          <w:numId w:val="3"/>
        </w:numPr>
        <w:ind w:left="720"/>
        <w:rPr>
          <w:sz w:val="20"/>
          <w:szCs w:val="20"/>
        </w:rPr>
      </w:pPr>
      <w:r w:rsidRPr="001C648D">
        <w:rPr>
          <w:sz w:val="20"/>
          <w:szCs w:val="20"/>
        </w:rPr>
        <w:t>Guidelines are not meant to treat patients in hospice or palliative care</w:t>
      </w:r>
    </w:p>
    <w:p w14:paraId="11BEBBD4" w14:textId="77777777" w:rsidR="00D22D42" w:rsidRPr="001C648D" w:rsidRDefault="001C648D" w:rsidP="00D44D80">
      <w:pPr>
        <w:ind w:left="720" w:hanging="720"/>
        <w:rPr>
          <w:sz w:val="20"/>
          <w:szCs w:val="20"/>
        </w:rPr>
      </w:pPr>
      <w:r w:rsidRPr="001C648D">
        <w:rPr>
          <w:sz w:val="20"/>
          <w:szCs w:val="20"/>
        </w:rPr>
        <w:t>Definitions</w:t>
      </w:r>
    </w:p>
    <w:p w14:paraId="5D387C3F" w14:textId="77777777" w:rsidR="00D22D42" w:rsidRPr="001C648D" w:rsidRDefault="00D44D80" w:rsidP="00D44D80">
      <w:pPr>
        <w:pStyle w:val="ListParagraph"/>
        <w:numPr>
          <w:ilvl w:val="0"/>
          <w:numId w:val="3"/>
        </w:num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Acute vs. </w:t>
      </w:r>
      <w:r w:rsidR="00D22D42" w:rsidRPr="001C648D">
        <w:rPr>
          <w:sz w:val="20"/>
          <w:szCs w:val="20"/>
        </w:rPr>
        <w:t xml:space="preserve">chronic pain (lasts longer than anticipated for usual course of condition, &gt;3-6 </w:t>
      </w:r>
      <w:proofErr w:type="spellStart"/>
      <w:r w:rsidR="00D22D42" w:rsidRPr="001C648D">
        <w:rPr>
          <w:sz w:val="20"/>
          <w:szCs w:val="20"/>
        </w:rPr>
        <w:t>mos</w:t>
      </w:r>
      <w:proofErr w:type="spellEnd"/>
      <w:r>
        <w:rPr>
          <w:sz w:val="20"/>
          <w:szCs w:val="20"/>
        </w:rPr>
        <w:t>)</w:t>
      </w:r>
    </w:p>
    <w:p w14:paraId="5B036847" w14:textId="77777777" w:rsidR="00D22D42" w:rsidRPr="001C648D" w:rsidRDefault="00D22D42" w:rsidP="00D44D80">
      <w:pPr>
        <w:pStyle w:val="ListParagraph"/>
        <w:numPr>
          <w:ilvl w:val="0"/>
          <w:numId w:val="3"/>
        </w:numPr>
        <w:ind w:left="720"/>
        <w:rPr>
          <w:sz w:val="20"/>
          <w:szCs w:val="20"/>
        </w:rPr>
      </w:pPr>
      <w:r w:rsidRPr="001C648D">
        <w:rPr>
          <w:sz w:val="20"/>
          <w:szCs w:val="20"/>
        </w:rPr>
        <w:t>Nociceptive (tissue injury, “normal and physiological”</w:t>
      </w:r>
      <w:r w:rsidR="001C648D" w:rsidRPr="001C648D">
        <w:rPr>
          <w:sz w:val="20"/>
          <w:szCs w:val="20"/>
        </w:rPr>
        <w:t xml:space="preserve">) vs. neuropathic pain (abnormal neuronal firing, absence active tissue damage, </w:t>
      </w:r>
      <w:proofErr w:type="spellStart"/>
      <w:r w:rsidR="001C648D" w:rsidRPr="001C648D">
        <w:rPr>
          <w:sz w:val="20"/>
          <w:szCs w:val="20"/>
        </w:rPr>
        <w:t>hyperexcitability</w:t>
      </w:r>
      <w:proofErr w:type="spellEnd"/>
      <w:r w:rsidR="001C648D" w:rsidRPr="001C648D">
        <w:rPr>
          <w:sz w:val="20"/>
          <w:szCs w:val="20"/>
        </w:rPr>
        <w:t>, complex) vs. compound pain</w:t>
      </w:r>
    </w:p>
    <w:p w14:paraId="2CC448EE" w14:textId="77777777" w:rsidR="001C648D" w:rsidRPr="001C648D" w:rsidRDefault="001C648D" w:rsidP="00D44D80">
      <w:pPr>
        <w:pStyle w:val="ListParagraph"/>
        <w:numPr>
          <w:ilvl w:val="0"/>
          <w:numId w:val="3"/>
        </w:numPr>
        <w:ind w:left="720"/>
        <w:rPr>
          <w:sz w:val="20"/>
          <w:szCs w:val="20"/>
        </w:rPr>
      </w:pPr>
      <w:r w:rsidRPr="001C648D">
        <w:rPr>
          <w:sz w:val="20"/>
          <w:szCs w:val="20"/>
        </w:rPr>
        <w:t>Tolerance (</w:t>
      </w:r>
      <w:r w:rsidR="00D44D80" w:rsidRPr="001C648D">
        <w:rPr>
          <w:sz w:val="20"/>
          <w:szCs w:val="20"/>
        </w:rPr>
        <w:t>diminution</w:t>
      </w:r>
      <w:r w:rsidRPr="001C648D">
        <w:rPr>
          <w:sz w:val="20"/>
          <w:szCs w:val="20"/>
        </w:rPr>
        <w:t xml:space="preserve"> </w:t>
      </w:r>
      <w:bookmarkStart w:id="0" w:name="_GoBack"/>
      <w:bookmarkEnd w:id="0"/>
      <w:r w:rsidRPr="001C648D">
        <w:rPr>
          <w:sz w:val="20"/>
          <w:szCs w:val="20"/>
        </w:rPr>
        <w:t>of drug effects with time), Dependence (withdrawal syndrome with cessation) and Addiction (1ary and chronic, neurobiological, multifactorial, impaired control, compulsivity, use despite harm to self)</w:t>
      </w:r>
    </w:p>
    <w:p w14:paraId="012EA3D6" w14:textId="77777777" w:rsidR="00D22D42" w:rsidRPr="001C648D" w:rsidRDefault="00D22D42" w:rsidP="00D44D80">
      <w:pPr>
        <w:ind w:left="360" w:hanging="360"/>
        <w:rPr>
          <w:sz w:val="20"/>
          <w:szCs w:val="20"/>
        </w:rPr>
      </w:pPr>
      <w:r w:rsidRPr="001C648D">
        <w:rPr>
          <w:sz w:val="20"/>
          <w:szCs w:val="20"/>
        </w:rPr>
        <w:t>Specific patient populations</w:t>
      </w:r>
    </w:p>
    <w:p w14:paraId="75500641" w14:textId="77777777" w:rsidR="001C648D" w:rsidRPr="001C648D" w:rsidRDefault="001C648D" w:rsidP="00D44D80">
      <w:pPr>
        <w:pStyle w:val="ListParagraph"/>
        <w:numPr>
          <w:ilvl w:val="0"/>
          <w:numId w:val="3"/>
        </w:numPr>
        <w:ind w:left="720"/>
        <w:rPr>
          <w:sz w:val="20"/>
          <w:szCs w:val="20"/>
        </w:rPr>
      </w:pPr>
      <w:r w:rsidRPr="001C648D">
        <w:rPr>
          <w:sz w:val="20"/>
          <w:szCs w:val="20"/>
        </w:rPr>
        <w:t xml:space="preserve">History of Substance use Disorder: using opioid risk tool, consult with specialist in addiction medicine, pain agreement, PDMP, </w:t>
      </w:r>
      <w:proofErr w:type="spellStart"/>
      <w:r w:rsidRPr="001C648D">
        <w:rPr>
          <w:sz w:val="20"/>
          <w:szCs w:val="20"/>
        </w:rPr>
        <w:t>Utox</w:t>
      </w:r>
      <w:proofErr w:type="spellEnd"/>
    </w:p>
    <w:p w14:paraId="1A0CF0B1" w14:textId="77777777" w:rsidR="001C648D" w:rsidRPr="001C648D" w:rsidRDefault="001C648D" w:rsidP="00D44D80">
      <w:pPr>
        <w:pStyle w:val="ListParagraph"/>
        <w:numPr>
          <w:ilvl w:val="0"/>
          <w:numId w:val="3"/>
        </w:numPr>
        <w:ind w:left="360" w:firstLine="0"/>
        <w:rPr>
          <w:sz w:val="20"/>
          <w:szCs w:val="20"/>
        </w:rPr>
      </w:pPr>
      <w:r w:rsidRPr="001C648D">
        <w:rPr>
          <w:sz w:val="20"/>
          <w:szCs w:val="20"/>
        </w:rPr>
        <w:t>Psychiatric patients: “well defined somatic or neuropathic conditions”,  seek appropriate specialist</w:t>
      </w:r>
    </w:p>
    <w:p w14:paraId="7D7A65BA" w14:textId="77777777" w:rsidR="001C648D" w:rsidRPr="001C648D" w:rsidRDefault="001C648D" w:rsidP="00D44D80">
      <w:pPr>
        <w:pStyle w:val="ListParagraph"/>
        <w:numPr>
          <w:ilvl w:val="0"/>
          <w:numId w:val="3"/>
        </w:numPr>
        <w:ind w:left="360" w:firstLine="0"/>
        <w:rPr>
          <w:sz w:val="20"/>
          <w:szCs w:val="20"/>
        </w:rPr>
      </w:pPr>
      <w:r w:rsidRPr="001C648D">
        <w:rPr>
          <w:sz w:val="20"/>
          <w:szCs w:val="20"/>
        </w:rPr>
        <w:t xml:space="preserve">Co-prescribed </w:t>
      </w:r>
      <w:proofErr w:type="spellStart"/>
      <w:r w:rsidRPr="001C648D">
        <w:rPr>
          <w:sz w:val="20"/>
          <w:szCs w:val="20"/>
        </w:rPr>
        <w:t>benzos</w:t>
      </w:r>
      <w:proofErr w:type="spellEnd"/>
      <w:r w:rsidRPr="001C648D">
        <w:rPr>
          <w:sz w:val="20"/>
          <w:szCs w:val="20"/>
        </w:rPr>
        <w:t xml:space="preserve">: encouraging </w:t>
      </w:r>
      <w:proofErr w:type="spellStart"/>
      <w:r w:rsidRPr="001C648D">
        <w:rPr>
          <w:sz w:val="20"/>
          <w:szCs w:val="20"/>
        </w:rPr>
        <w:t>benzo</w:t>
      </w:r>
      <w:proofErr w:type="spellEnd"/>
      <w:r w:rsidRPr="001C648D">
        <w:rPr>
          <w:sz w:val="20"/>
          <w:szCs w:val="20"/>
        </w:rPr>
        <w:t xml:space="preserve"> taper</w:t>
      </w:r>
    </w:p>
    <w:p w14:paraId="5B9D8FF2" w14:textId="77777777" w:rsidR="00D22D42" w:rsidRPr="001C648D" w:rsidRDefault="00D22D42" w:rsidP="00D22D42">
      <w:pPr>
        <w:rPr>
          <w:sz w:val="20"/>
          <w:szCs w:val="20"/>
        </w:rPr>
      </w:pPr>
      <w:r w:rsidRPr="001C648D">
        <w:rPr>
          <w:sz w:val="20"/>
          <w:szCs w:val="20"/>
        </w:rPr>
        <w:t>Patient evaluation and risk stratification</w:t>
      </w:r>
    </w:p>
    <w:p w14:paraId="46A82F06" w14:textId="77777777" w:rsidR="001C648D" w:rsidRPr="001C648D" w:rsidRDefault="00D44D80" w:rsidP="00D44D80">
      <w:pPr>
        <w:pStyle w:val="ListParagraph"/>
        <w:numPr>
          <w:ilvl w:val="0"/>
          <w:numId w:val="3"/>
        </w:numPr>
        <w:ind w:left="720"/>
        <w:rPr>
          <w:sz w:val="20"/>
          <w:szCs w:val="20"/>
        </w:rPr>
      </w:pPr>
      <w:r>
        <w:rPr>
          <w:sz w:val="20"/>
          <w:szCs w:val="20"/>
        </w:rPr>
        <w:t>History, physical exam</w:t>
      </w:r>
      <w:r w:rsidR="001C648D" w:rsidRPr="001C648D">
        <w:rPr>
          <w:sz w:val="20"/>
          <w:szCs w:val="20"/>
        </w:rPr>
        <w:t xml:space="preserve">, Psychological </w:t>
      </w:r>
      <w:proofErr w:type="spellStart"/>
      <w:r w:rsidR="001C648D" w:rsidRPr="001C648D">
        <w:rPr>
          <w:sz w:val="20"/>
          <w:szCs w:val="20"/>
        </w:rPr>
        <w:t>eval</w:t>
      </w:r>
      <w:proofErr w:type="spellEnd"/>
      <w:r w:rsidR="001C648D" w:rsidRPr="001C648D">
        <w:rPr>
          <w:sz w:val="20"/>
          <w:szCs w:val="20"/>
        </w:rPr>
        <w:t xml:space="preserve"> (CAGE, PHQ-9, Opioid risk tool)</w:t>
      </w:r>
    </w:p>
    <w:p w14:paraId="3D20D98A" w14:textId="77777777" w:rsidR="001C648D" w:rsidRPr="001C648D" w:rsidRDefault="00D44D80" w:rsidP="00D44D80">
      <w:pPr>
        <w:pStyle w:val="ListParagraph"/>
        <w:numPr>
          <w:ilvl w:val="0"/>
          <w:numId w:val="3"/>
        </w:numPr>
        <w:ind w:left="720"/>
        <w:rPr>
          <w:sz w:val="20"/>
          <w:szCs w:val="20"/>
        </w:rPr>
      </w:pPr>
      <w:r>
        <w:rPr>
          <w:sz w:val="20"/>
          <w:szCs w:val="20"/>
        </w:rPr>
        <w:t>Establishing a d</w:t>
      </w:r>
      <w:r w:rsidR="001C648D" w:rsidRPr="001C648D">
        <w:rPr>
          <w:sz w:val="20"/>
          <w:szCs w:val="20"/>
        </w:rPr>
        <w:t xml:space="preserve">iagnosis with medical necessity </w:t>
      </w:r>
    </w:p>
    <w:p w14:paraId="30464D3D" w14:textId="77777777" w:rsidR="001C648D" w:rsidRPr="001C648D" w:rsidRDefault="00D44D80" w:rsidP="00D44D80">
      <w:pPr>
        <w:pStyle w:val="ListParagraph"/>
        <w:numPr>
          <w:ilvl w:val="0"/>
          <w:numId w:val="3"/>
        </w:numPr>
        <w:ind w:left="720"/>
        <w:rPr>
          <w:sz w:val="20"/>
          <w:szCs w:val="20"/>
        </w:rPr>
      </w:pPr>
      <w:r>
        <w:rPr>
          <w:sz w:val="20"/>
          <w:szCs w:val="20"/>
        </w:rPr>
        <w:t>A review of n</w:t>
      </w:r>
      <w:r w:rsidR="001C648D" w:rsidRPr="001C648D">
        <w:rPr>
          <w:sz w:val="20"/>
          <w:szCs w:val="20"/>
        </w:rPr>
        <w:t>on opioid treatment options</w:t>
      </w:r>
    </w:p>
    <w:p w14:paraId="140DE94A" w14:textId="77777777" w:rsidR="00D22D42" w:rsidRPr="001C648D" w:rsidRDefault="00D22D42" w:rsidP="00D22D42">
      <w:pPr>
        <w:rPr>
          <w:sz w:val="20"/>
          <w:szCs w:val="20"/>
        </w:rPr>
      </w:pPr>
      <w:r w:rsidRPr="001C648D">
        <w:rPr>
          <w:sz w:val="20"/>
          <w:szCs w:val="20"/>
        </w:rPr>
        <w:t>Consultation</w:t>
      </w:r>
      <w:r w:rsidR="001C648D" w:rsidRPr="001C648D">
        <w:rPr>
          <w:sz w:val="20"/>
          <w:szCs w:val="20"/>
        </w:rPr>
        <w:t xml:space="preserve"> needed?  </w:t>
      </w:r>
    </w:p>
    <w:p w14:paraId="74BB8456" w14:textId="77777777" w:rsidR="001C648D" w:rsidRPr="001C648D" w:rsidRDefault="001C648D" w:rsidP="00D44D80">
      <w:pPr>
        <w:pStyle w:val="ListParagraph"/>
        <w:numPr>
          <w:ilvl w:val="0"/>
          <w:numId w:val="3"/>
        </w:numPr>
        <w:ind w:left="720"/>
        <w:rPr>
          <w:sz w:val="20"/>
          <w:szCs w:val="20"/>
        </w:rPr>
      </w:pPr>
      <w:r w:rsidRPr="001C648D">
        <w:rPr>
          <w:sz w:val="20"/>
          <w:szCs w:val="20"/>
        </w:rPr>
        <w:t>Knowing our limits and seeking help in co-management</w:t>
      </w:r>
    </w:p>
    <w:p w14:paraId="58D0C9E2" w14:textId="77777777" w:rsidR="00D44D80" w:rsidRPr="001C648D" w:rsidRDefault="00D44D80" w:rsidP="00D44D80">
      <w:pPr>
        <w:rPr>
          <w:sz w:val="20"/>
          <w:szCs w:val="20"/>
        </w:rPr>
      </w:pPr>
      <w:r w:rsidRPr="001C648D">
        <w:rPr>
          <w:sz w:val="20"/>
          <w:szCs w:val="20"/>
        </w:rPr>
        <w:t>Take home points:</w:t>
      </w:r>
    </w:p>
    <w:p w14:paraId="5CDDB9A4" w14:textId="77777777" w:rsidR="00D44D80" w:rsidRDefault="00D44D80" w:rsidP="00D44D80">
      <w:pPr>
        <w:pStyle w:val="ListParagraph"/>
        <w:numPr>
          <w:ilvl w:val="0"/>
          <w:numId w:val="2"/>
        </w:numPr>
        <w:ind w:left="720"/>
        <w:rPr>
          <w:sz w:val="20"/>
          <w:szCs w:val="20"/>
        </w:rPr>
      </w:pPr>
      <w:r w:rsidRPr="001C648D">
        <w:rPr>
          <w:sz w:val="20"/>
          <w:szCs w:val="20"/>
        </w:rPr>
        <w:t>Establishing boundaries early</w:t>
      </w:r>
    </w:p>
    <w:p w14:paraId="4127C0EA" w14:textId="77777777" w:rsidR="00D44D80" w:rsidRPr="001C648D" w:rsidRDefault="00D44D80" w:rsidP="00D44D80">
      <w:pPr>
        <w:pStyle w:val="ListParagraph"/>
        <w:numPr>
          <w:ilvl w:val="0"/>
          <w:numId w:val="2"/>
        </w:numPr>
        <w:ind w:left="720"/>
        <w:rPr>
          <w:sz w:val="20"/>
          <w:szCs w:val="20"/>
        </w:rPr>
      </w:pPr>
      <w:r>
        <w:rPr>
          <w:sz w:val="20"/>
          <w:szCs w:val="20"/>
        </w:rPr>
        <w:t>Setting expectations at the onset when prescribing controlled substances</w:t>
      </w:r>
    </w:p>
    <w:p w14:paraId="2D209FE9" w14:textId="77777777" w:rsidR="00D44D80" w:rsidRDefault="00D44D80" w:rsidP="00D44D80">
      <w:pPr>
        <w:pStyle w:val="ListParagraph"/>
        <w:numPr>
          <w:ilvl w:val="0"/>
          <w:numId w:val="2"/>
        </w:numPr>
        <w:ind w:left="720"/>
        <w:rPr>
          <w:sz w:val="20"/>
          <w:szCs w:val="20"/>
        </w:rPr>
      </w:pPr>
      <w:r w:rsidRPr="001C648D">
        <w:rPr>
          <w:sz w:val="20"/>
          <w:szCs w:val="20"/>
        </w:rPr>
        <w:t>Developing “exit strategy”</w:t>
      </w:r>
      <w:r>
        <w:rPr>
          <w:sz w:val="20"/>
          <w:szCs w:val="20"/>
        </w:rPr>
        <w:t xml:space="preserve"> at the onset of prescribing controlled substances</w:t>
      </w:r>
    </w:p>
    <w:p w14:paraId="57A36B62" w14:textId="77777777" w:rsidR="00D44D80" w:rsidRPr="001C648D" w:rsidRDefault="00D44D80" w:rsidP="00D44D80">
      <w:pPr>
        <w:pStyle w:val="ListParagraph"/>
        <w:numPr>
          <w:ilvl w:val="0"/>
          <w:numId w:val="2"/>
        </w:numPr>
        <w:ind w:left="720"/>
        <w:rPr>
          <w:sz w:val="20"/>
          <w:szCs w:val="20"/>
        </w:rPr>
      </w:pPr>
      <w:r>
        <w:rPr>
          <w:sz w:val="20"/>
          <w:szCs w:val="20"/>
        </w:rPr>
        <w:t>Importance of documentation especially when deviating from the guidelines</w:t>
      </w:r>
    </w:p>
    <w:p w14:paraId="335B8238" w14:textId="77777777" w:rsidR="00D44D80" w:rsidRDefault="00D44D80" w:rsidP="001C648D">
      <w:pPr>
        <w:pStyle w:val="ListParagraph"/>
        <w:numPr>
          <w:ilvl w:val="0"/>
          <w:numId w:val="2"/>
        </w:num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Establishing </w:t>
      </w:r>
      <w:r>
        <w:rPr>
          <w:sz w:val="20"/>
          <w:szCs w:val="20"/>
        </w:rPr>
        <w:t xml:space="preserve">one’s </w:t>
      </w:r>
      <w:r>
        <w:rPr>
          <w:sz w:val="20"/>
          <w:szCs w:val="20"/>
        </w:rPr>
        <w:t xml:space="preserve">own boundaries </w:t>
      </w:r>
      <w:r>
        <w:rPr>
          <w:sz w:val="20"/>
          <w:szCs w:val="20"/>
        </w:rPr>
        <w:t>to prescribing controlled substances and when to seek</w:t>
      </w:r>
      <w:r>
        <w:rPr>
          <w:sz w:val="20"/>
          <w:szCs w:val="20"/>
        </w:rPr>
        <w:t xml:space="preserve"> specialty </w:t>
      </w:r>
      <w:r>
        <w:rPr>
          <w:sz w:val="20"/>
          <w:szCs w:val="20"/>
        </w:rPr>
        <w:t>care</w:t>
      </w:r>
    </w:p>
    <w:p w14:paraId="589F5C3C" w14:textId="77777777" w:rsidR="00D44D80" w:rsidRDefault="00D44D80" w:rsidP="001C648D">
      <w:pPr>
        <w:pStyle w:val="ListParagraph"/>
        <w:numPr>
          <w:ilvl w:val="0"/>
          <w:numId w:val="2"/>
        </w:numPr>
        <w:ind w:left="720"/>
        <w:rPr>
          <w:sz w:val="20"/>
          <w:szCs w:val="20"/>
        </w:rPr>
      </w:pPr>
      <w:r>
        <w:rPr>
          <w:sz w:val="20"/>
          <w:szCs w:val="20"/>
        </w:rPr>
        <w:t>Do we practice in a setting where “</w:t>
      </w:r>
      <w:r w:rsidRPr="001C648D">
        <w:rPr>
          <w:sz w:val="20"/>
          <w:szCs w:val="20"/>
        </w:rPr>
        <w:t>careful evaluation, regular follow-up, and close supervision</w:t>
      </w:r>
      <w:r>
        <w:rPr>
          <w:sz w:val="20"/>
          <w:szCs w:val="20"/>
        </w:rPr>
        <w:t>” are ensured?</w:t>
      </w:r>
    </w:p>
    <w:p w14:paraId="74A244FB" w14:textId="77777777" w:rsidR="00D44D80" w:rsidRPr="00D44D80" w:rsidRDefault="00D44D80" w:rsidP="00D44D80">
      <w:pPr>
        <w:rPr>
          <w:sz w:val="20"/>
          <w:szCs w:val="20"/>
        </w:rPr>
      </w:pPr>
      <w:r>
        <w:rPr>
          <w:sz w:val="20"/>
          <w:szCs w:val="20"/>
        </w:rPr>
        <w:lastRenderedPageBreak/>
        <w:t>Source</w:t>
      </w:r>
    </w:p>
    <w:p w14:paraId="103D5390" w14:textId="77777777" w:rsidR="00D44D80" w:rsidRPr="00D44D80" w:rsidRDefault="00D44D80" w:rsidP="00D44D80">
      <w:pPr>
        <w:ind w:left="360"/>
        <w:rPr>
          <w:sz w:val="20"/>
          <w:szCs w:val="20"/>
        </w:rPr>
      </w:pPr>
      <w:proofErr w:type="gramStart"/>
      <w:r w:rsidRPr="00D44D80">
        <w:rPr>
          <w:sz w:val="20"/>
          <w:szCs w:val="20"/>
        </w:rPr>
        <w:t>Guidelines for Prescribing Controlled Substances for Pain.</w:t>
      </w:r>
      <w:proofErr w:type="gramEnd"/>
      <w:r w:rsidRPr="00D44D80">
        <w:rPr>
          <w:sz w:val="20"/>
          <w:szCs w:val="20"/>
        </w:rPr>
        <w:t xml:space="preserve">  </w:t>
      </w:r>
      <w:proofErr w:type="gramStart"/>
      <w:r w:rsidRPr="00D44D80">
        <w:rPr>
          <w:sz w:val="20"/>
          <w:szCs w:val="20"/>
        </w:rPr>
        <w:t>Medical Board of California.</w:t>
      </w:r>
      <w:proofErr w:type="gramEnd"/>
      <w:r w:rsidRPr="00D44D80">
        <w:rPr>
          <w:sz w:val="20"/>
          <w:szCs w:val="20"/>
        </w:rPr>
        <w:t xml:space="preserve">  Nov 2014.http://www.mbc.ca.gov/licensees/prescribing/pain_guidelines.pdf</w:t>
      </w:r>
    </w:p>
    <w:p w14:paraId="1BBB70E4" w14:textId="77777777" w:rsidR="00D44D80" w:rsidRPr="00D44D80" w:rsidRDefault="00D44D80" w:rsidP="00D44D80">
      <w:pPr>
        <w:pStyle w:val="ListParagraph"/>
        <w:ind w:left="1080"/>
        <w:rPr>
          <w:sz w:val="20"/>
          <w:szCs w:val="20"/>
        </w:rPr>
      </w:pPr>
    </w:p>
    <w:p w14:paraId="00E68970" w14:textId="77777777" w:rsidR="00D22D42" w:rsidRPr="001C648D" w:rsidRDefault="00D22D42" w:rsidP="00D22D42">
      <w:pPr>
        <w:jc w:val="both"/>
        <w:rPr>
          <w:sz w:val="20"/>
          <w:szCs w:val="20"/>
        </w:rPr>
      </w:pPr>
    </w:p>
    <w:sectPr w:rsidR="00D22D42" w:rsidRPr="001C64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838F7"/>
    <w:multiLevelType w:val="hybridMultilevel"/>
    <w:tmpl w:val="16841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85E41"/>
    <w:multiLevelType w:val="hybridMultilevel"/>
    <w:tmpl w:val="23C0E6B4"/>
    <w:lvl w:ilvl="0" w:tplc="7CF8AEB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2E149B7"/>
    <w:multiLevelType w:val="hybridMultilevel"/>
    <w:tmpl w:val="4FD4F566"/>
    <w:lvl w:ilvl="0" w:tplc="3B58088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0154B2F"/>
    <w:multiLevelType w:val="hybridMultilevel"/>
    <w:tmpl w:val="AB705176"/>
    <w:lvl w:ilvl="0" w:tplc="03507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42"/>
    <w:rsid w:val="001C648D"/>
    <w:rsid w:val="00D22D42"/>
    <w:rsid w:val="00D44D80"/>
    <w:rsid w:val="00E6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43AFB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2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2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383</Words>
  <Characters>2184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Mena C. Ramos</dc:creator>
  <cp:lastModifiedBy>Mena Ramos</cp:lastModifiedBy>
  <cp:revision>2</cp:revision>
  <cp:lastPrinted>2015-01-20T16:25:00Z</cp:lastPrinted>
  <dcterms:created xsi:type="dcterms:W3CDTF">2015-01-20T16:31:00Z</dcterms:created>
  <dcterms:modified xsi:type="dcterms:W3CDTF">2015-01-20T16:31:00Z</dcterms:modified>
</cp:coreProperties>
</file>