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5B3" w:rsidRPr="007A15B3" w:rsidRDefault="007A15B3" w:rsidP="007A15B3">
      <w:pPr>
        <w:pStyle w:val="NoSpacing"/>
        <w:rPr>
          <w:b/>
          <w:u w:val="single"/>
        </w:rPr>
      </w:pPr>
      <w:r w:rsidRPr="007A15B3">
        <w:rPr>
          <w:b/>
          <w:u w:val="single"/>
        </w:rPr>
        <w:t>General</w:t>
      </w:r>
    </w:p>
    <w:p w:rsidR="007A15B3" w:rsidRDefault="007A15B3" w:rsidP="007A15B3">
      <w:pPr>
        <w:pStyle w:val="NoSpacing"/>
      </w:pPr>
      <w:r w:rsidRPr="007A15B3">
        <w:t xml:space="preserve">Renal calculi are crystalline mineral deposits that form in the kidney. They develop from microscopic crystals in the loop of Henle, the distal tubule, or the collecting </w:t>
      </w:r>
      <w:proofErr w:type="gramStart"/>
      <w:r w:rsidRPr="007A15B3">
        <w:t>duct,</w:t>
      </w:r>
      <w:proofErr w:type="gramEnd"/>
      <w:r w:rsidRPr="007A15B3">
        <w:t xml:space="preserve"> and they can enl</w:t>
      </w:r>
      <w:r w:rsidR="006F0D43">
        <w:t>arge to form visible fragments.</w:t>
      </w:r>
      <w:r w:rsidRPr="007A15B3">
        <w:t xml:space="preserve"> The process of stone formation depends on urinary volume; concentrations of calcium, phosphate, oxalate, sodium, and uric acid ions; concentrations of natural calculus inhibitors (e.g., citrate, magnesium, Tamm-</w:t>
      </w:r>
      <w:proofErr w:type="spellStart"/>
      <w:r w:rsidRPr="007A15B3">
        <w:t>Horsfall</w:t>
      </w:r>
      <w:proofErr w:type="spellEnd"/>
      <w:r w:rsidRPr="007A15B3">
        <w:t xml:space="preserve"> </w:t>
      </w:r>
      <w:proofErr w:type="spellStart"/>
      <w:r w:rsidRPr="007A15B3">
        <w:t>mucoproteins</w:t>
      </w:r>
      <w:proofErr w:type="spellEnd"/>
      <w:r w:rsidRPr="007A15B3">
        <w:t xml:space="preserve">, </w:t>
      </w:r>
      <w:proofErr w:type="spellStart"/>
      <w:r w:rsidRPr="007A15B3">
        <w:t>bikunin</w:t>
      </w:r>
      <w:proofErr w:type="spellEnd"/>
      <w:r w:rsidRPr="007A15B3">
        <w:t xml:space="preserve">); and urinary </w:t>
      </w:r>
      <w:proofErr w:type="spellStart"/>
      <w:r w:rsidRPr="007A15B3">
        <w:t>pH.</w:t>
      </w:r>
      <w:proofErr w:type="spellEnd"/>
      <w:r w:rsidR="00EC7F4B">
        <w:t xml:space="preserve"> </w:t>
      </w:r>
      <w:r w:rsidR="00EC7F4B" w:rsidRPr="00EC7F4B">
        <w:t>Many calculi have a mixed composition, with one type of crystal becoming a nidus for heterogeneous crystallization</w:t>
      </w:r>
    </w:p>
    <w:p w:rsidR="00820EE9" w:rsidRDefault="00820EE9" w:rsidP="007A15B3">
      <w:pPr>
        <w:pStyle w:val="NoSpacing"/>
      </w:pPr>
    </w:p>
    <w:p w:rsidR="007A15B3" w:rsidRPr="00296CF6" w:rsidRDefault="00296CF6" w:rsidP="007A15B3">
      <w:pPr>
        <w:pStyle w:val="NoSpacing"/>
        <w:rPr>
          <w:b/>
          <w:u w:val="single"/>
        </w:rPr>
      </w:pPr>
      <w:r w:rsidRPr="00296CF6">
        <w:rPr>
          <w:b/>
          <w:u w:val="single"/>
        </w:rPr>
        <w:t>Epidemiology</w:t>
      </w:r>
    </w:p>
    <w:p w:rsidR="007F78E0" w:rsidRDefault="00296CF6" w:rsidP="00296CF6">
      <w:pPr>
        <w:pStyle w:val="NoSpacing"/>
        <w:numPr>
          <w:ilvl w:val="0"/>
          <w:numId w:val="2"/>
        </w:numPr>
      </w:pPr>
      <w:r w:rsidRPr="00296CF6">
        <w:t>5 percent in the general population</w:t>
      </w:r>
    </w:p>
    <w:p w:rsidR="00296CF6" w:rsidRDefault="007F78E0" w:rsidP="00296CF6">
      <w:pPr>
        <w:pStyle w:val="NoSpacing"/>
        <w:numPr>
          <w:ilvl w:val="0"/>
          <w:numId w:val="2"/>
        </w:numPr>
      </w:pPr>
      <w:r>
        <w:t>A</w:t>
      </w:r>
      <w:r w:rsidR="00296CF6" w:rsidRPr="00296CF6">
        <w:t>nnual inci</w:t>
      </w:r>
      <w:r w:rsidR="00296CF6">
        <w:t xml:space="preserve">dence </w:t>
      </w:r>
      <w:r>
        <w:t xml:space="preserve">of </w:t>
      </w:r>
      <w:r w:rsidR="00296CF6">
        <w:t>1 percent</w:t>
      </w:r>
    </w:p>
    <w:p w:rsidR="00296CF6" w:rsidRDefault="00296CF6" w:rsidP="00296CF6">
      <w:pPr>
        <w:pStyle w:val="NoSpacing"/>
        <w:numPr>
          <w:ilvl w:val="0"/>
          <w:numId w:val="2"/>
        </w:numPr>
      </w:pPr>
      <w:r w:rsidRPr="00296CF6">
        <w:t>M</w:t>
      </w:r>
      <w:r w:rsidR="007F78E0">
        <w:t>ale to female ratio = 4:1, after 6</w:t>
      </w:r>
      <w:r w:rsidR="007F78E0" w:rsidRPr="007F78E0">
        <w:rPr>
          <w:vertAlign w:val="superscript"/>
        </w:rPr>
        <w:t>th</w:t>
      </w:r>
      <w:r w:rsidR="007F78E0">
        <w:t xml:space="preserve"> decade, ratio = 1.5:1</w:t>
      </w:r>
    </w:p>
    <w:p w:rsidR="00820EE9" w:rsidRDefault="007F78E0" w:rsidP="007A15B3">
      <w:pPr>
        <w:pStyle w:val="NoSpacing"/>
        <w:numPr>
          <w:ilvl w:val="0"/>
          <w:numId w:val="2"/>
        </w:numPr>
      </w:pPr>
      <w:r>
        <w:t>Symptomatic nephrolithiasis incidence increases in summer months</w:t>
      </w:r>
    </w:p>
    <w:p w:rsidR="007A15B3" w:rsidRDefault="00820EE9" w:rsidP="007A15B3">
      <w:pPr>
        <w:pStyle w:val="NoSpacing"/>
        <w:numPr>
          <w:ilvl w:val="0"/>
          <w:numId w:val="2"/>
        </w:numPr>
      </w:pPr>
      <w:r>
        <w:t>After passage of a calcium stone, the l</w:t>
      </w:r>
      <w:r w:rsidRPr="00820EE9">
        <w:t>ikelihood of forming a second stone is approximately 15 percent at one year, 35 to 40 percent at five years, and 50 percent at 10 years, with men being more likely to recur than women</w:t>
      </w:r>
    </w:p>
    <w:p w:rsidR="00820EE9" w:rsidRDefault="00820EE9" w:rsidP="00820EE9">
      <w:pPr>
        <w:pStyle w:val="NoSpacing"/>
        <w:ind w:left="720"/>
      </w:pPr>
    </w:p>
    <w:p w:rsidR="007A15B3" w:rsidRDefault="007A15B3" w:rsidP="007A15B3">
      <w:pPr>
        <w:pStyle w:val="NoSpacing"/>
        <w:rPr>
          <w:b/>
          <w:u w:val="single"/>
        </w:rPr>
      </w:pPr>
      <w:r w:rsidRPr="007A15B3">
        <w:rPr>
          <w:b/>
          <w:u w:val="single"/>
        </w:rPr>
        <w:t>Risk factors</w:t>
      </w:r>
    </w:p>
    <w:p w:rsidR="007F78E0" w:rsidRPr="007F78E0" w:rsidRDefault="007F78E0" w:rsidP="007A15B3">
      <w:pPr>
        <w:pStyle w:val="NoSpacing"/>
        <w:rPr>
          <w:b/>
        </w:rPr>
      </w:pPr>
      <w:r w:rsidRPr="007F78E0">
        <w:rPr>
          <w:b/>
        </w:rPr>
        <w:t>Calcium oxalate</w:t>
      </w:r>
      <w:r w:rsidR="00EC7F4B">
        <w:rPr>
          <w:b/>
        </w:rPr>
        <w:t xml:space="preserve"> Calculi</w:t>
      </w:r>
      <w:r w:rsidR="00E134CA">
        <w:rPr>
          <w:b/>
        </w:rPr>
        <w:t xml:space="preserve"> </w:t>
      </w:r>
      <w:r w:rsidR="00E134CA" w:rsidRPr="00E134CA">
        <w:t>(&gt;50</w:t>
      </w:r>
      <w:r w:rsidR="00E134CA">
        <w:t>%</w:t>
      </w:r>
      <w:r w:rsidR="00EC7F4B">
        <w:t xml:space="preserve"> in both children and adults</w:t>
      </w:r>
      <w:r w:rsidR="00E134CA" w:rsidRPr="00E134CA">
        <w:t>)</w:t>
      </w:r>
    </w:p>
    <w:p w:rsidR="007F78E0" w:rsidRPr="007F78E0" w:rsidRDefault="007F78E0" w:rsidP="007F78E0">
      <w:pPr>
        <w:pStyle w:val="NoSpacing"/>
        <w:numPr>
          <w:ilvl w:val="0"/>
          <w:numId w:val="4"/>
        </w:numPr>
        <w:rPr>
          <w:b/>
          <w:u w:val="single"/>
        </w:rPr>
      </w:pPr>
      <w:proofErr w:type="spellStart"/>
      <w:r>
        <w:t>Hypercalciuria</w:t>
      </w:r>
      <w:proofErr w:type="spellEnd"/>
      <w:r>
        <w:t xml:space="preserve"> (&gt;250mg/24H) </w:t>
      </w:r>
    </w:p>
    <w:p w:rsidR="007F78E0" w:rsidRPr="00BA5655" w:rsidRDefault="007F78E0" w:rsidP="00BA5655">
      <w:pPr>
        <w:pStyle w:val="NoSpacing"/>
        <w:numPr>
          <w:ilvl w:val="1"/>
          <w:numId w:val="4"/>
        </w:numPr>
        <w:rPr>
          <w:b/>
          <w:u w:val="single"/>
        </w:rPr>
      </w:pPr>
      <w:r>
        <w:t>Most common is idiopathic</w:t>
      </w:r>
      <w:r w:rsidR="00BA5655">
        <w:rPr>
          <w:b/>
          <w:u w:val="single"/>
        </w:rPr>
        <w:t xml:space="preserve">; </w:t>
      </w:r>
      <w:r w:rsidR="00BA5655">
        <w:t>p</w:t>
      </w:r>
      <w:r w:rsidR="00AE160F">
        <w:t>rimary hyperparathyroidism via</w:t>
      </w:r>
      <w:r>
        <w:t xml:space="preserve"> increas</w:t>
      </w:r>
      <w:r w:rsidR="00AE160F">
        <w:t xml:space="preserve">ed intestinal absorption of Ca and </w:t>
      </w:r>
      <w:r>
        <w:t xml:space="preserve">increased bone demineralization  </w:t>
      </w:r>
    </w:p>
    <w:p w:rsidR="007F78E0" w:rsidRDefault="007F78E0" w:rsidP="007A15B3">
      <w:pPr>
        <w:pStyle w:val="NoSpacing"/>
        <w:numPr>
          <w:ilvl w:val="0"/>
          <w:numId w:val="1"/>
        </w:numPr>
      </w:pPr>
      <w:proofErr w:type="spellStart"/>
      <w:r>
        <w:t>Hyperoxaluria</w:t>
      </w:r>
      <w:proofErr w:type="spellEnd"/>
      <w:r>
        <w:t xml:space="preserve"> (&gt;45mg/24H)</w:t>
      </w:r>
    </w:p>
    <w:p w:rsidR="007F78E0" w:rsidRDefault="007F78E0" w:rsidP="00BA5655">
      <w:pPr>
        <w:pStyle w:val="NoSpacing"/>
        <w:numPr>
          <w:ilvl w:val="1"/>
          <w:numId w:val="1"/>
        </w:numPr>
      </w:pPr>
      <w:r>
        <w:t>Enteric cause from malabsorption (ex: Crohn’s)</w:t>
      </w:r>
      <w:r w:rsidR="00BA5655">
        <w:t>; p</w:t>
      </w:r>
      <w:r>
        <w:t xml:space="preserve">rimary </w:t>
      </w:r>
      <w:proofErr w:type="spellStart"/>
      <w:r>
        <w:t>hyperoxaluria</w:t>
      </w:r>
      <w:proofErr w:type="spellEnd"/>
      <w:r>
        <w:t>: metabolic error with increased oxalate formation and urinary excretion</w:t>
      </w:r>
    </w:p>
    <w:p w:rsidR="00E134CA" w:rsidRDefault="00E134CA" w:rsidP="00E134CA">
      <w:pPr>
        <w:pStyle w:val="NoSpacing"/>
        <w:numPr>
          <w:ilvl w:val="0"/>
          <w:numId w:val="1"/>
        </w:numPr>
      </w:pPr>
      <w:r w:rsidRPr="00E134CA">
        <w:t>Hyperuricosuria (&gt;800mg/24H): increased</w:t>
      </w:r>
      <w:r>
        <w:t xml:space="preserve"> uric acid promotes calcium oxalate crystallization by forming a template for nucleation </w:t>
      </w:r>
    </w:p>
    <w:p w:rsidR="00E134CA" w:rsidRDefault="00E134CA" w:rsidP="00E134CA">
      <w:pPr>
        <w:pStyle w:val="NoSpacing"/>
        <w:numPr>
          <w:ilvl w:val="0"/>
          <w:numId w:val="1"/>
        </w:numPr>
      </w:pPr>
      <w:proofErr w:type="spellStart"/>
      <w:r>
        <w:t>Hypocitraturia</w:t>
      </w:r>
      <w:proofErr w:type="spellEnd"/>
      <w:r>
        <w:t xml:space="preserve"> (&lt;450mg/24H): idiopathic; renal tubular acidosis</w:t>
      </w:r>
      <w:r w:rsidR="00EC7F4B">
        <w:t xml:space="preserve"> (RTA)</w:t>
      </w:r>
      <w:r>
        <w:t xml:space="preserve"> types 1,2,&amp;4 </w:t>
      </w:r>
    </w:p>
    <w:p w:rsidR="00E134CA" w:rsidRDefault="00E134CA" w:rsidP="00E134CA">
      <w:pPr>
        <w:pStyle w:val="NoSpacing"/>
      </w:pPr>
    </w:p>
    <w:p w:rsidR="00E134CA" w:rsidRDefault="00E134CA" w:rsidP="00E134CA">
      <w:pPr>
        <w:pStyle w:val="NoSpacing"/>
      </w:pPr>
      <w:r w:rsidRPr="00EC7F4B">
        <w:rPr>
          <w:b/>
        </w:rPr>
        <w:t xml:space="preserve">Calcium Phosphate </w:t>
      </w:r>
      <w:r w:rsidR="00EC7F4B" w:rsidRPr="00EC7F4B">
        <w:rPr>
          <w:b/>
        </w:rPr>
        <w:t>Calculi</w:t>
      </w:r>
      <w:r w:rsidR="00EC7F4B">
        <w:t xml:space="preserve"> </w:t>
      </w:r>
      <w:r>
        <w:t>(</w:t>
      </w:r>
      <w:r w:rsidR="00EC7F4B">
        <w:t>25-30% in children, 8-18% in adults)</w:t>
      </w:r>
    </w:p>
    <w:p w:rsidR="00E134CA" w:rsidRDefault="00E134CA" w:rsidP="00E134CA">
      <w:pPr>
        <w:pStyle w:val="NoSpacing"/>
        <w:numPr>
          <w:ilvl w:val="0"/>
          <w:numId w:val="5"/>
        </w:numPr>
      </w:pPr>
      <w:r>
        <w:t xml:space="preserve">RTA via alkalization of urine, </w:t>
      </w:r>
      <w:proofErr w:type="spellStart"/>
      <w:r>
        <w:t>hypercalciuria</w:t>
      </w:r>
      <w:proofErr w:type="spellEnd"/>
      <w:r>
        <w:t xml:space="preserve"> and </w:t>
      </w:r>
      <w:proofErr w:type="spellStart"/>
      <w:r>
        <w:t>hypocitrateuria</w:t>
      </w:r>
      <w:proofErr w:type="spellEnd"/>
      <w:r>
        <w:t xml:space="preserve"> </w:t>
      </w:r>
    </w:p>
    <w:p w:rsidR="00E134CA" w:rsidRDefault="00E134CA" w:rsidP="00E134CA">
      <w:pPr>
        <w:pStyle w:val="NoSpacing"/>
        <w:numPr>
          <w:ilvl w:val="0"/>
          <w:numId w:val="5"/>
        </w:numPr>
      </w:pPr>
      <w:r>
        <w:t xml:space="preserve">Primary hyperparathyroidism  creates persistent </w:t>
      </w:r>
      <w:proofErr w:type="spellStart"/>
      <w:r>
        <w:t>hypercalciuria</w:t>
      </w:r>
      <w:proofErr w:type="spellEnd"/>
    </w:p>
    <w:p w:rsidR="00E134CA" w:rsidRDefault="00E134CA" w:rsidP="00E134CA">
      <w:pPr>
        <w:pStyle w:val="NoSpacing"/>
        <w:numPr>
          <w:ilvl w:val="0"/>
          <w:numId w:val="5"/>
        </w:numPr>
      </w:pPr>
      <w:r>
        <w:t xml:space="preserve">Excessive </w:t>
      </w:r>
      <w:proofErr w:type="spellStart"/>
      <w:r>
        <w:t>alkalinization</w:t>
      </w:r>
      <w:proofErr w:type="spellEnd"/>
      <w:r>
        <w:t xml:space="preserve"> </w:t>
      </w:r>
      <w:proofErr w:type="spellStart"/>
      <w:r>
        <w:t>promtes</w:t>
      </w:r>
      <w:proofErr w:type="spellEnd"/>
      <w:r>
        <w:t xml:space="preserve"> calcium phosphate </w:t>
      </w:r>
      <w:proofErr w:type="spellStart"/>
      <w:r>
        <w:t>supersaturation</w:t>
      </w:r>
      <w:proofErr w:type="spellEnd"/>
      <w:r>
        <w:t xml:space="preserve"> and loss of citrate</w:t>
      </w:r>
    </w:p>
    <w:p w:rsidR="00E134CA" w:rsidRDefault="00E134CA" w:rsidP="00E134CA">
      <w:pPr>
        <w:pStyle w:val="NoSpacing"/>
        <w:numPr>
          <w:ilvl w:val="0"/>
          <w:numId w:val="5"/>
        </w:numPr>
      </w:pPr>
      <w:r>
        <w:t>Sarcoidosis</w:t>
      </w:r>
    </w:p>
    <w:p w:rsidR="00E134CA" w:rsidRDefault="00E134CA" w:rsidP="00E134CA">
      <w:pPr>
        <w:pStyle w:val="NoSpacing"/>
      </w:pPr>
    </w:p>
    <w:p w:rsidR="00E134CA" w:rsidRPr="00EC7F4B" w:rsidRDefault="00E134CA" w:rsidP="00E134CA">
      <w:pPr>
        <w:pStyle w:val="NoSpacing"/>
      </w:pPr>
      <w:r w:rsidRPr="00EC7F4B">
        <w:rPr>
          <w:b/>
        </w:rPr>
        <w:t xml:space="preserve">Uric Acid Calculi </w:t>
      </w:r>
      <w:r w:rsidR="00EC7F4B" w:rsidRPr="00EC7F4B">
        <w:t>(2-4% in children, 9-17% in adults)</w:t>
      </w:r>
    </w:p>
    <w:p w:rsidR="00E134CA" w:rsidRDefault="00E134CA" w:rsidP="00A36F12">
      <w:pPr>
        <w:pStyle w:val="NoSpacing"/>
        <w:numPr>
          <w:ilvl w:val="0"/>
          <w:numId w:val="16"/>
        </w:numPr>
      </w:pPr>
      <w:r>
        <w:t>Low urinary pH (&lt;5.5)</w:t>
      </w:r>
    </w:p>
    <w:p w:rsidR="00E134CA" w:rsidRDefault="00E134CA" w:rsidP="00A36F12">
      <w:pPr>
        <w:pStyle w:val="NoSpacing"/>
        <w:numPr>
          <w:ilvl w:val="0"/>
          <w:numId w:val="16"/>
        </w:numPr>
      </w:pPr>
      <w:r>
        <w:t>Gout p</w:t>
      </w:r>
      <w:r w:rsidRPr="00E134CA">
        <w:t>romotes hyperuricosuria</w:t>
      </w:r>
    </w:p>
    <w:p w:rsidR="00EC7F4B" w:rsidRDefault="00EC7F4B" w:rsidP="00A36F12">
      <w:pPr>
        <w:pStyle w:val="NoSpacing"/>
        <w:numPr>
          <w:ilvl w:val="0"/>
          <w:numId w:val="16"/>
        </w:numPr>
      </w:pPr>
      <w:r w:rsidRPr="00EC7F4B">
        <w:t>Insulin resistance: Ammonia mishandling; alters pH of urine</w:t>
      </w:r>
    </w:p>
    <w:p w:rsidR="00EC7F4B" w:rsidRPr="00EC7F4B" w:rsidRDefault="00EC7F4B" w:rsidP="00A36F12">
      <w:pPr>
        <w:pStyle w:val="NoSpacing"/>
        <w:numPr>
          <w:ilvl w:val="0"/>
          <w:numId w:val="16"/>
        </w:numPr>
      </w:pPr>
      <w:r>
        <w:t>End-</w:t>
      </w:r>
      <w:proofErr w:type="spellStart"/>
      <w:r>
        <w:t>illeostomies</w:t>
      </w:r>
      <w:proofErr w:type="spellEnd"/>
      <w:r>
        <w:t xml:space="preserve"> promote</w:t>
      </w:r>
      <w:r w:rsidRPr="00EC7F4B">
        <w:t xml:space="preserve"> low urine volume; acidic urine depletes available citrate; </w:t>
      </w:r>
      <w:proofErr w:type="spellStart"/>
      <w:r w:rsidRPr="00EC7F4B">
        <w:t>hyperoxaluria</w:t>
      </w:r>
      <w:proofErr w:type="spellEnd"/>
      <w:r w:rsidRPr="00EC7F4B">
        <w:t xml:space="preserve"> </w:t>
      </w:r>
    </w:p>
    <w:p w:rsidR="00EC7F4B" w:rsidRDefault="00EC7F4B" w:rsidP="00A36F12">
      <w:pPr>
        <w:pStyle w:val="NoSpacing"/>
        <w:numPr>
          <w:ilvl w:val="0"/>
          <w:numId w:val="16"/>
        </w:numPr>
      </w:pPr>
      <w:r>
        <w:t>E</w:t>
      </w:r>
      <w:r w:rsidRPr="00EC7F4B">
        <w:t>xcess animal protein consumption</w:t>
      </w:r>
      <w:r>
        <w:t xml:space="preserve"> creates acidic urine, depletes citrate, promotes hyperuricosuria</w:t>
      </w:r>
    </w:p>
    <w:p w:rsidR="00A36F12" w:rsidRDefault="00A36F12" w:rsidP="00A36F12">
      <w:pPr>
        <w:pStyle w:val="NoSpacing"/>
      </w:pPr>
    </w:p>
    <w:p w:rsidR="00EC7F4B" w:rsidRDefault="00EC7F4B" w:rsidP="00EC7F4B">
      <w:pPr>
        <w:pStyle w:val="NoSpacing"/>
      </w:pPr>
      <w:proofErr w:type="spellStart"/>
      <w:r w:rsidRPr="00EC7F4B">
        <w:rPr>
          <w:b/>
        </w:rPr>
        <w:t>Struvite</w:t>
      </w:r>
      <w:proofErr w:type="spellEnd"/>
      <w:r w:rsidRPr="00EC7F4B">
        <w:rPr>
          <w:b/>
        </w:rPr>
        <w:t xml:space="preserve"> Calculi</w:t>
      </w:r>
      <w:r>
        <w:t xml:space="preserve"> (consist of magnesium, ammonium, calcium phosphate; leading cause of staghorn calculi; 7-13% in children, 2-4% in adults)</w:t>
      </w:r>
    </w:p>
    <w:p w:rsidR="00EC7F4B" w:rsidRDefault="00EC7F4B" w:rsidP="00EC7F4B">
      <w:pPr>
        <w:pStyle w:val="NoSpacing"/>
        <w:numPr>
          <w:ilvl w:val="0"/>
          <w:numId w:val="7"/>
        </w:numPr>
      </w:pPr>
      <w:r>
        <w:t>Neurogenic bladder</w:t>
      </w:r>
    </w:p>
    <w:p w:rsidR="00EC7F4B" w:rsidRDefault="00EC7F4B" w:rsidP="00EC7F4B">
      <w:pPr>
        <w:pStyle w:val="NoSpacing"/>
        <w:numPr>
          <w:ilvl w:val="0"/>
          <w:numId w:val="7"/>
        </w:numPr>
      </w:pPr>
      <w:r>
        <w:lastRenderedPageBreak/>
        <w:t>Foreign body in urinary tract</w:t>
      </w:r>
    </w:p>
    <w:p w:rsidR="00EC7F4B" w:rsidRDefault="00EC7F4B" w:rsidP="00EC7F4B">
      <w:pPr>
        <w:pStyle w:val="NoSpacing"/>
        <w:numPr>
          <w:ilvl w:val="0"/>
          <w:numId w:val="7"/>
        </w:numPr>
      </w:pPr>
      <w:r>
        <w:t>Recurrent UTIs with urea-splitting organisms (</w:t>
      </w:r>
      <w:proofErr w:type="spellStart"/>
      <w:r>
        <w:t>proteus</w:t>
      </w:r>
      <w:proofErr w:type="spellEnd"/>
      <w:r>
        <w:t xml:space="preserve">, </w:t>
      </w:r>
      <w:proofErr w:type="spellStart"/>
      <w:r>
        <w:t>ureaplasma</w:t>
      </w:r>
      <w:proofErr w:type="spellEnd"/>
      <w:r>
        <w:t xml:space="preserve">, </w:t>
      </w:r>
      <w:proofErr w:type="spellStart"/>
      <w:r>
        <w:t>klebsiella</w:t>
      </w:r>
      <w:proofErr w:type="spellEnd"/>
      <w:r>
        <w:t>), which alkalinize urine and produce ammonium</w:t>
      </w:r>
    </w:p>
    <w:p w:rsidR="00EC7F4B" w:rsidRDefault="00EC7F4B" w:rsidP="00EC7F4B">
      <w:pPr>
        <w:pStyle w:val="NoSpacing"/>
      </w:pPr>
    </w:p>
    <w:p w:rsidR="00EC7F4B" w:rsidRDefault="006F0D43" w:rsidP="00EC7F4B">
      <w:pPr>
        <w:pStyle w:val="NoSpacing"/>
      </w:pPr>
      <w:proofErr w:type="spellStart"/>
      <w:r w:rsidRPr="006F0D43">
        <w:rPr>
          <w:b/>
        </w:rPr>
        <w:t>Cyst</w:t>
      </w:r>
      <w:r w:rsidR="00EC7F4B" w:rsidRPr="006F0D43">
        <w:rPr>
          <w:b/>
        </w:rPr>
        <w:t>ine</w:t>
      </w:r>
      <w:proofErr w:type="spellEnd"/>
      <w:r w:rsidR="00EC7F4B" w:rsidRPr="006F0D43">
        <w:rPr>
          <w:b/>
        </w:rPr>
        <w:t xml:space="preserve"> Calculi</w:t>
      </w:r>
      <w:r w:rsidR="00EC7F4B">
        <w:t xml:space="preserve"> (</w:t>
      </w:r>
      <w:r>
        <w:t>5-8% in children, 1% in adults)</w:t>
      </w:r>
    </w:p>
    <w:p w:rsidR="006F0D43" w:rsidRDefault="006F0D43" w:rsidP="006F0D43">
      <w:pPr>
        <w:pStyle w:val="NoSpacing"/>
        <w:numPr>
          <w:ilvl w:val="0"/>
          <w:numId w:val="8"/>
        </w:numPr>
      </w:pPr>
      <w:proofErr w:type="spellStart"/>
      <w:r>
        <w:t>Cystinuria</w:t>
      </w:r>
      <w:proofErr w:type="spellEnd"/>
      <w:r>
        <w:t xml:space="preserve">: autosomal recessive disorder where the proximal tubular and </w:t>
      </w:r>
      <w:proofErr w:type="spellStart"/>
      <w:r>
        <w:t>jejunal</w:t>
      </w:r>
      <w:proofErr w:type="spellEnd"/>
      <w:r>
        <w:t xml:space="preserve"> transport of dibasic amino acids cysteine, lysine, arginine, and ornithine are defective and result in excessive loss via the urine </w:t>
      </w:r>
    </w:p>
    <w:p w:rsidR="00EC7F4B" w:rsidRDefault="00EC7F4B" w:rsidP="00EC7F4B">
      <w:pPr>
        <w:pStyle w:val="NoSpacing"/>
      </w:pPr>
    </w:p>
    <w:p w:rsidR="006F0D43" w:rsidRPr="006F0D43" w:rsidRDefault="006F0D43" w:rsidP="00EC7F4B">
      <w:pPr>
        <w:pStyle w:val="NoSpacing"/>
        <w:rPr>
          <w:b/>
        </w:rPr>
      </w:pPr>
      <w:r>
        <w:rPr>
          <w:b/>
        </w:rPr>
        <w:t>Other risk factors</w:t>
      </w:r>
    </w:p>
    <w:p w:rsidR="007A15B3" w:rsidRDefault="007A15B3" w:rsidP="007A15B3">
      <w:pPr>
        <w:pStyle w:val="NoSpacing"/>
        <w:numPr>
          <w:ilvl w:val="0"/>
          <w:numId w:val="1"/>
        </w:numPr>
      </w:pPr>
      <w:r>
        <w:t xml:space="preserve">Excess dietary sodium: Promotes </w:t>
      </w:r>
      <w:proofErr w:type="spellStart"/>
      <w:r>
        <w:t>hypercalciuria</w:t>
      </w:r>
      <w:proofErr w:type="spellEnd"/>
    </w:p>
    <w:p w:rsidR="007A15B3" w:rsidRDefault="007A15B3" w:rsidP="007A15B3">
      <w:pPr>
        <w:pStyle w:val="NoSpacing"/>
        <w:numPr>
          <w:ilvl w:val="0"/>
          <w:numId w:val="1"/>
        </w:numPr>
      </w:pPr>
      <w:r>
        <w:t>Low urine volume: Allows stone constituents to supersaturate</w:t>
      </w:r>
    </w:p>
    <w:p w:rsidR="00BA5655" w:rsidRDefault="007A15B3" w:rsidP="007A15B3">
      <w:pPr>
        <w:pStyle w:val="NoSpacing"/>
        <w:numPr>
          <w:ilvl w:val="0"/>
          <w:numId w:val="1"/>
        </w:numPr>
      </w:pPr>
      <w:r>
        <w:t>Obesity</w:t>
      </w:r>
      <w:r w:rsidR="00BA5655">
        <w:t>, rapid weight loss, laxatives</w:t>
      </w:r>
    </w:p>
    <w:p w:rsidR="007A15B3" w:rsidRDefault="007A15B3" w:rsidP="007A15B3">
      <w:pPr>
        <w:pStyle w:val="NoSpacing"/>
        <w:numPr>
          <w:ilvl w:val="0"/>
          <w:numId w:val="1"/>
        </w:numPr>
      </w:pPr>
      <w:r>
        <w:t xml:space="preserve">Prolonged immobilization: Bone turnover creates </w:t>
      </w:r>
      <w:proofErr w:type="spellStart"/>
      <w:r>
        <w:t>hypercalciuria</w:t>
      </w:r>
      <w:proofErr w:type="spellEnd"/>
    </w:p>
    <w:p w:rsidR="00C22952" w:rsidRDefault="00BA5655" w:rsidP="007A15B3">
      <w:pPr>
        <w:pStyle w:val="NoSpacing"/>
        <w:numPr>
          <w:ilvl w:val="0"/>
          <w:numId w:val="1"/>
        </w:numPr>
      </w:pPr>
      <w:r>
        <w:t xml:space="preserve">Medications: </w:t>
      </w:r>
      <w:proofErr w:type="spellStart"/>
      <w:r>
        <w:t>Uricosurics</w:t>
      </w:r>
      <w:proofErr w:type="spellEnd"/>
      <w:r>
        <w:t>, diuretics, vitamin C&amp;D, antacids (</w:t>
      </w:r>
      <w:proofErr w:type="spellStart"/>
      <w:r>
        <w:t>esp</w:t>
      </w:r>
      <w:proofErr w:type="spellEnd"/>
      <w:r>
        <w:t xml:space="preserve"> phosphorus binding agents), acetazolamide, CCB, triamterene, theophylline, protease inhibitors, sulfonamides </w:t>
      </w:r>
    </w:p>
    <w:p w:rsidR="00296CF6" w:rsidRDefault="00296CF6" w:rsidP="00296CF6">
      <w:pPr>
        <w:pStyle w:val="NoSpacing"/>
      </w:pPr>
    </w:p>
    <w:p w:rsidR="006F0D43" w:rsidRDefault="00296CF6" w:rsidP="006F0D43">
      <w:pPr>
        <w:pStyle w:val="NoSpacing"/>
        <w:rPr>
          <w:b/>
          <w:u w:val="single"/>
        </w:rPr>
      </w:pPr>
      <w:r w:rsidRPr="00296CF6">
        <w:rPr>
          <w:b/>
          <w:u w:val="single"/>
        </w:rPr>
        <w:t>Symptoms</w:t>
      </w:r>
    </w:p>
    <w:p w:rsidR="00BA5655" w:rsidRPr="00BA5655" w:rsidRDefault="006F0D43" w:rsidP="00BA5655">
      <w:pPr>
        <w:pStyle w:val="NoSpacing"/>
        <w:numPr>
          <w:ilvl w:val="0"/>
          <w:numId w:val="9"/>
        </w:numPr>
        <w:rPr>
          <w:b/>
          <w:u w:val="single"/>
        </w:rPr>
      </w:pPr>
      <w:r>
        <w:t>Colic: sudden, severe, paroxysmal pain produced from peristaltic smooth muscle contractions of ureteral walls against a calculus</w:t>
      </w:r>
      <w:r w:rsidR="00C22952">
        <w:t xml:space="preserve"> (usually asymptomatic until they reach ur</w:t>
      </w:r>
      <w:r w:rsidR="00BA5655">
        <w:t>eters)</w:t>
      </w:r>
    </w:p>
    <w:p w:rsidR="00C22952" w:rsidRPr="00BA5655" w:rsidRDefault="00C22952" w:rsidP="00BA5655">
      <w:pPr>
        <w:pStyle w:val="NoSpacing"/>
        <w:numPr>
          <w:ilvl w:val="1"/>
          <w:numId w:val="9"/>
        </w:numPr>
        <w:rPr>
          <w:b/>
          <w:u w:val="single"/>
        </w:rPr>
      </w:pPr>
      <w:r>
        <w:t>Originates in flank and radiates to groin, can also be referred to labia or testes</w:t>
      </w:r>
    </w:p>
    <w:p w:rsidR="00296CF6" w:rsidRPr="006F0D43" w:rsidRDefault="006F0D43" w:rsidP="007A15B3">
      <w:pPr>
        <w:pStyle w:val="NoSpacing"/>
        <w:numPr>
          <w:ilvl w:val="0"/>
          <w:numId w:val="9"/>
        </w:numPr>
        <w:rPr>
          <w:b/>
          <w:u w:val="single"/>
        </w:rPr>
      </w:pPr>
      <w:r>
        <w:t xml:space="preserve">Other possible symptoms include fevers, chills, </w:t>
      </w:r>
      <w:r w:rsidR="00C22952">
        <w:t xml:space="preserve">nausea, vomiting, </w:t>
      </w:r>
      <w:r>
        <w:t>hematuria, increase in frequency of urination</w:t>
      </w:r>
      <w:r w:rsidR="00C22952">
        <w:t>, increase in urgency of urination</w:t>
      </w:r>
    </w:p>
    <w:p w:rsidR="006F0D43" w:rsidRPr="00BA5655" w:rsidRDefault="006F0D43" w:rsidP="006F0D43">
      <w:pPr>
        <w:pStyle w:val="NoSpacing"/>
        <w:ind w:left="720"/>
        <w:rPr>
          <w:b/>
          <w:u w:val="single"/>
        </w:rPr>
      </w:pPr>
    </w:p>
    <w:p w:rsidR="00296CF6" w:rsidRPr="00BA5655" w:rsidRDefault="00C22952" w:rsidP="00BA5655">
      <w:pPr>
        <w:pStyle w:val="NoSpacing"/>
        <w:rPr>
          <w:b/>
          <w:u w:val="single"/>
        </w:rPr>
      </w:pPr>
      <w:r w:rsidRPr="00BA5655">
        <w:rPr>
          <w:b/>
          <w:u w:val="single"/>
        </w:rPr>
        <w:t xml:space="preserve">Differential </w:t>
      </w:r>
      <w:r w:rsidR="00296CF6" w:rsidRPr="00BA5655">
        <w:rPr>
          <w:b/>
          <w:u w:val="single"/>
        </w:rPr>
        <w:t>Diagnosis</w:t>
      </w:r>
    </w:p>
    <w:p w:rsidR="00C22952" w:rsidRDefault="00AE160F" w:rsidP="00BA5655">
      <w:pPr>
        <w:pStyle w:val="NoSpacing"/>
        <w:numPr>
          <w:ilvl w:val="0"/>
          <w:numId w:val="17"/>
        </w:numPr>
      </w:pPr>
      <w:r>
        <w:t>UTI, pyelonephritis</w:t>
      </w:r>
    </w:p>
    <w:p w:rsidR="00DF671E" w:rsidRDefault="00C22952" w:rsidP="00BA5655">
      <w:pPr>
        <w:pStyle w:val="NoSpacing"/>
        <w:numPr>
          <w:ilvl w:val="0"/>
          <w:numId w:val="17"/>
        </w:numPr>
      </w:pPr>
      <w:r>
        <w:t>Abdominal</w:t>
      </w:r>
      <w:r w:rsidR="00DF671E">
        <w:t xml:space="preserve">: </w:t>
      </w:r>
      <w:r>
        <w:t xml:space="preserve"> </w:t>
      </w:r>
      <w:r w:rsidR="00DF671E">
        <w:t xml:space="preserve">SBO, appendicitis, </w:t>
      </w:r>
      <w:proofErr w:type="spellStart"/>
      <w:r w:rsidR="001A437B">
        <w:t>cholecystitis</w:t>
      </w:r>
      <w:proofErr w:type="spellEnd"/>
      <w:r w:rsidR="001A437B">
        <w:t xml:space="preserve">, </w:t>
      </w:r>
      <w:r w:rsidR="00DF671E">
        <w:t>diverticulitis, ischemic bowel, AAA</w:t>
      </w:r>
    </w:p>
    <w:p w:rsidR="00BA5655" w:rsidRDefault="00DF671E" w:rsidP="00BA5655">
      <w:pPr>
        <w:pStyle w:val="NoSpacing"/>
        <w:numPr>
          <w:ilvl w:val="0"/>
          <w:numId w:val="17"/>
        </w:numPr>
      </w:pPr>
      <w:r>
        <w:t>Pelvic inflammatory disease</w:t>
      </w:r>
      <w:r w:rsidR="00BA5655">
        <w:t xml:space="preserve">, </w:t>
      </w:r>
      <w:r w:rsidR="00BA5655" w:rsidRPr="00BA5655">
        <w:t xml:space="preserve">Ectopic pregnancy </w:t>
      </w:r>
    </w:p>
    <w:p w:rsidR="00BA5655" w:rsidRDefault="00DF671E" w:rsidP="00BA5655">
      <w:pPr>
        <w:pStyle w:val="NoSpacing"/>
        <w:numPr>
          <w:ilvl w:val="0"/>
          <w:numId w:val="17"/>
        </w:numPr>
      </w:pPr>
      <w:r>
        <w:t xml:space="preserve">Ovarian or testicular pathology </w:t>
      </w:r>
    </w:p>
    <w:p w:rsidR="00BA5655" w:rsidRDefault="00DF671E" w:rsidP="00BA5655">
      <w:pPr>
        <w:pStyle w:val="NoSpacing"/>
        <w:numPr>
          <w:ilvl w:val="0"/>
          <w:numId w:val="17"/>
        </w:numPr>
      </w:pPr>
      <w:r>
        <w:t>M</w:t>
      </w:r>
      <w:r w:rsidR="00C22952" w:rsidRPr="00C22952">
        <w:t>usculoskeletal inflammation or spasm</w:t>
      </w:r>
    </w:p>
    <w:p w:rsidR="00BA5655" w:rsidRDefault="00DF671E" w:rsidP="00BA5655">
      <w:pPr>
        <w:pStyle w:val="NoSpacing"/>
        <w:numPr>
          <w:ilvl w:val="0"/>
          <w:numId w:val="17"/>
        </w:numPr>
      </w:pPr>
      <w:r>
        <w:t xml:space="preserve">Malignancy </w:t>
      </w:r>
    </w:p>
    <w:p w:rsidR="00C22952" w:rsidRDefault="00DF671E" w:rsidP="00BA5655">
      <w:pPr>
        <w:pStyle w:val="NoSpacing"/>
        <w:numPr>
          <w:ilvl w:val="0"/>
          <w:numId w:val="17"/>
        </w:numPr>
      </w:pPr>
      <w:r>
        <w:t xml:space="preserve">Factitious (drug seeking) </w:t>
      </w:r>
    </w:p>
    <w:p w:rsidR="00BA5655" w:rsidRDefault="00BA5655" w:rsidP="00BA5655">
      <w:pPr>
        <w:pStyle w:val="NoSpacing"/>
      </w:pPr>
    </w:p>
    <w:p w:rsidR="00C22952" w:rsidRDefault="00C22952" w:rsidP="00C22952">
      <w:pPr>
        <w:pStyle w:val="NoSpacing"/>
        <w:rPr>
          <w:b/>
          <w:u w:val="single"/>
        </w:rPr>
      </w:pPr>
      <w:r w:rsidRPr="00C22952">
        <w:rPr>
          <w:b/>
          <w:u w:val="single"/>
        </w:rPr>
        <w:t>Diagnostic Studies</w:t>
      </w:r>
    </w:p>
    <w:p w:rsidR="00CF6DED" w:rsidRPr="00CF6DED" w:rsidRDefault="00CF6DED" w:rsidP="00CF6DED">
      <w:pPr>
        <w:pStyle w:val="NoSpacing"/>
        <w:numPr>
          <w:ilvl w:val="0"/>
          <w:numId w:val="13"/>
        </w:numPr>
        <w:rPr>
          <w:b/>
          <w:u w:val="single"/>
        </w:rPr>
      </w:pPr>
      <w:r>
        <w:t xml:space="preserve">Physical exam: </w:t>
      </w:r>
    </w:p>
    <w:p w:rsidR="00CF6DED" w:rsidRPr="00CF6DED" w:rsidRDefault="00CF6DED" w:rsidP="00CF6DED">
      <w:pPr>
        <w:pStyle w:val="NoSpacing"/>
        <w:numPr>
          <w:ilvl w:val="1"/>
          <w:numId w:val="13"/>
        </w:numPr>
        <w:rPr>
          <w:b/>
          <w:u w:val="single"/>
        </w:rPr>
      </w:pPr>
      <w:r>
        <w:t>General impression: often patient is constantly moving, attempting to lessen pain</w:t>
      </w:r>
    </w:p>
    <w:p w:rsidR="00CF6DED" w:rsidRDefault="00CF6DED" w:rsidP="00CF6DED">
      <w:pPr>
        <w:pStyle w:val="NoSpacing"/>
        <w:numPr>
          <w:ilvl w:val="1"/>
          <w:numId w:val="13"/>
        </w:numPr>
        <w:rPr>
          <w:b/>
          <w:u w:val="single"/>
        </w:rPr>
      </w:pPr>
      <w:r>
        <w:t>Hypo active bowel sounds, +CVA tenderness</w:t>
      </w:r>
    </w:p>
    <w:p w:rsidR="00DF671E" w:rsidRPr="00DF671E" w:rsidRDefault="00DF671E" w:rsidP="00DF671E">
      <w:pPr>
        <w:pStyle w:val="NoSpacing"/>
        <w:numPr>
          <w:ilvl w:val="0"/>
          <w:numId w:val="11"/>
        </w:numPr>
      </w:pPr>
      <w:r w:rsidRPr="00DF671E">
        <w:t xml:space="preserve">Labs: </w:t>
      </w:r>
      <w:r>
        <w:t>Electrolytes, Ca, Phosphate, uric acid, CBC, PTH</w:t>
      </w:r>
    </w:p>
    <w:p w:rsidR="00DF671E" w:rsidRDefault="00DF671E" w:rsidP="00DF671E">
      <w:pPr>
        <w:pStyle w:val="NoSpacing"/>
        <w:numPr>
          <w:ilvl w:val="0"/>
          <w:numId w:val="11"/>
        </w:numPr>
      </w:pPr>
      <w:r w:rsidRPr="00DF671E">
        <w:t xml:space="preserve">UA: </w:t>
      </w:r>
      <w:r>
        <w:t xml:space="preserve"> hematuria (absence does not exclude stone), pH</w:t>
      </w:r>
      <w:r w:rsidR="00CF6DED">
        <w:t xml:space="preserve"> (&lt;5 = uric acid or cysteine stone, &gt;7.5 = </w:t>
      </w:r>
      <w:proofErr w:type="spellStart"/>
      <w:r w:rsidR="00CF6DED">
        <w:t>struvite</w:t>
      </w:r>
      <w:proofErr w:type="spellEnd"/>
      <w:r w:rsidR="00CF6DED">
        <w:t xml:space="preserve"> stone)</w:t>
      </w:r>
    </w:p>
    <w:p w:rsidR="00DF671E" w:rsidRPr="00DF671E" w:rsidRDefault="00DF671E" w:rsidP="00DF671E">
      <w:pPr>
        <w:pStyle w:val="NoSpacing"/>
        <w:numPr>
          <w:ilvl w:val="0"/>
          <w:numId w:val="11"/>
        </w:numPr>
      </w:pPr>
      <w:r>
        <w:t>Urine culture</w:t>
      </w:r>
    </w:p>
    <w:p w:rsidR="00296CF6" w:rsidRDefault="00C22952" w:rsidP="00C22952">
      <w:pPr>
        <w:pStyle w:val="NoSpacing"/>
        <w:numPr>
          <w:ilvl w:val="0"/>
          <w:numId w:val="10"/>
        </w:numPr>
      </w:pPr>
      <w:r>
        <w:t xml:space="preserve">Abdominal x-ray:  </w:t>
      </w:r>
      <w:r w:rsidR="00CF6DED">
        <w:t>Sensitivity 58-62%; c</w:t>
      </w:r>
      <w:r w:rsidR="00296CF6" w:rsidRPr="00296CF6">
        <w:t>alcareous stones usually are visible on radiographic imaging</w:t>
      </w:r>
      <w:r>
        <w:t xml:space="preserve">, </w:t>
      </w:r>
      <w:r w:rsidR="00296CF6" w:rsidRPr="00296CF6">
        <w:t xml:space="preserve">whereas </w:t>
      </w:r>
      <w:proofErr w:type="spellStart"/>
      <w:r w:rsidR="00296CF6" w:rsidRPr="00296CF6">
        <w:t>noncalcareous</w:t>
      </w:r>
      <w:proofErr w:type="spellEnd"/>
      <w:r w:rsidR="00296CF6" w:rsidRPr="00296CF6">
        <w:t xml:space="preserve"> stones (i.e., uric acid, </w:t>
      </w:r>
      <w:proofErr w:type="spellStart"/>
      <w:r w:rsidR="00296CF6" w:rsidRPr="00296CF6">
        <w:t>cystine</w:t>
      </w:r>
      <w:proofErr w:type="spellEnd"/>
      <w:r w:rsidR="00296CF6" w:rsidRPr="00296CF6">
        <w:t xml:space="preserve">, </w:t>
      </w:r>
      <w:proofErr w:type="spellStart"/>
      <w:r w:rsidR="00296CF6" w:rsidRPr="00296CF6">
        <w:t>struvite</w:t>
      </w:r>
      <w:proofErr w:type="spellEnd"/>
      <w:r w:rsidR="00296CF6" w:rsidRPr="00296CF6">
        <w:t xml:space="preserve"> calculi) often are radiolucent or poorly visua</w:t>
      </w:r>
      <w:r>
        <w:t>lized on plain film radiography</w:t>
      </w:r>
      <w:r w:rsidR="00CF6DED">
        <w:t xml:space="preserve">; </w:t>
      </w:r>
      <w:r w:rsidR="00541047">
        <w:t>valuable</w:t>
      </w:r>
      <w:r w:rsidR="00CF6DED">
        <w:t xml:space="preserve"> when combined with US or IVP</w:t>
      </w:r>
    </w:p>
    <w:p w:rsidR="00C22952" w:rsidRDefault="00C22952" w:rsidP="00C22952">
      <w:pPr>
        <w:pStyle w:val="NoSpacing"/>
        <w:numPr>
          <w:ilvl w:val="0"/>
          <w:numId w:val="10"/>
        </w:numPr>
      </w:pPr>
      <w:r>
        <w:t>Renal Ultrasound: 44</w:t>
      </w:r>
      <w:r w:rsidR="00CF6DED">
        <w:t>-57</w:t>
      </w:r>
      <w:r>
        <w:t>% sensitivity, but can miss &gt;30% of acute renal stone obstructions when patient not hydrated for study</w:t>
      </w:r>
      <w:r w:rsidR="00CF6DED">
        <w:t>; study of choice in pregnant women and children</w:t>
      </w:r>
    </w:p>
    <w:p w:rsidR="00AE160F" w:rsidRDefault="00AE160F" w:rsidP="00CF6DED">
      <w:pPr>
        <w:pStyle w:val="NoSpacing"/>
        <w:numPr>
          <w:ilvl w:val="0"/>
          <w:numId w:val="10"/>
        </w:numPr>
      </w:pPr>
      <w:r>
        <w:lastRenderedPageBreak/>
        <w:t xml:space="preserve">Non-contrast helical CT: </w:t>
      </w:r>
      <w:r w:rsidR="00CF6DED">
        <w:t>88-100% sensitivity; current</w:t>
      </w:r>
      <w:r>
        <w:t xml:space="preserve"> gold standard as </w:t>
      </w:r>
      <w:r w:rsidR="00A36F12">
        <w:t>more sensitive than ultrasound</w:t>
      </w:r>
      <w:r w:rsidRPr="00AE160F">
        <w:t xml:space="preserve"> and therefore more likely to visualize a stone. </w:t>
      </w:r>
      <w:r>
        <w:t>Downside is</w:t>
      </w:r>
      <w:r w:rsidRPr="00AE160F">
        <w:t xml:space="preserve"> radiation exposure, and cumulative doses of radiation may be high in patients who have recurrent nephrolithiasis and need frequent imaging</w:t>
      </w:r>
      <w:r w:rsidR="00CF6DED">
        <w:t>; looking for</w:t>
      </w:r>
      <w:r w:rsidR="00CF6DED" w:rsidRPr="00CF6DED">
        <w:t xml:space="preserve"> a "rim"</w:t>
      </w:r>
      <w:r w:rsidR="00541047">
        <w:t xml:space="preserve"> or “halo”</w:t>
      </w:r>
      <w:r w:rsidR="00CF6DED" w:rsidRPr="00CF6DED">
        <w:t xml:space="preserve"> sign on CT scanning due to circumferential edema from ureteral </w:t>
      </w:r>
      <w:proofErr w:type="spellStart"/>
      <w:r w:rsidR="00CF6DED" w:rsidRPr="00CF6DED">
        <w:t>lithiasis</w:t>
      </w:r>
      <w:proofErr w:type="spellEnd"/>
    </w:p>
    <w:p w:rsidR="00AE160F" w:rsidRDefault="00AE160F" w:rsidP="00C22952">
      <w:pPr>
        <w:pStyle w:val="NoSpacing"/>
        <w:numPr>
          <w:ilvl w:val="0"/>
          <w:numId w:val="10"/>
        </w:numPr>
      </w:pPr>
      <w:r>
        <w:t xml:space="preserve">Excretory urography (IVP): </w:t>
      </w:r>
      <w:r w:rsidR="00541047">
        <w:t>prior</w:t>
      </w:r>
      <w:r>
        <w:t xml:space="preserve"> gold standard, but requires IV contrast</w:t>
      </w:r>
      <w:r w:rsidR="00541047">
        <w:t xml:space="preserve"> and time consuming</w:t>
      </w:r>
      <w:r w:rsidR="00CF6DED">
        <w:t>; gives</w:t>
      </w:r>
      <w:r w:rsidR="00541047">
        <w:t xml:space="preserve"> info on location, size, and degree of obstruction; contraindicated in renal insufficiency, dehydration, pregnancy, prior contrast </w:t>
      </w:r>
      <w:proofErr w:type="spellStart"/>
      <w:r w:rsidR="00541047">
        <w:t>rxn</w:t>
      </w:r>
      <w:proofErr w:type="spellEnd"/>
    </w:p>
    <w:p w:rsidR="006C72F0" w:rsidRDefault="006C72F0" w:rsidP="006C72F0">
      <w:pPr>
        <w:pStyle w:val="NoSpacing"/>
        <w:ind w:left="720"/>
      </w:pPr>
    </w:p>
    <w:p w:rsidR="007A15B3" w:rsidRDefault="006F0D43" w:rsidP="00C22952">
      <w:pPr>
        <w:pStyle w:val="NoSpacing"/>
        <w:rPr>
          <w:b/>
          <w:u w:val="single"/>
        </w:rPr>
      </w:pPr>
      <w:r w:rsidRPr="006F0D43">
        <w:rPr>
          <w:b/>
          <w:u w:val="single"/>
        </w:rPr>
        <w:t>Treatment and follow-up</w:t>
      </w:r>
    </w:p>
    <w:p w:rsidR="00A36F12" w:rsidRDefault="00A36F12" w:rsidP="006C72F0">
      <w:pPr>
        <w:pStyle w:val="NoSpacing"/>
        <w:numPr>
          <w:ilvl w:val="0"/>
          <w:numId w:val="12"/>
        </w:numPr>
      </w:pPr>
      <w:r>
        <w:t xml:space="preserve">Pain control with NSAIDs and/or </w:t>
      </w:r>
      <w:r w:rsidR="009D0B62">
        <w:t>opioids</w:t>
      </w:r>
    </w:p>
    <w:p w:rsidR="00DF671E" w:rsidRPr="006C72F0" w:rsidRDefault="006C72F0" w:rsidP="006C72F0">
      <w:pPr>
        <w:pStyle w:val="NoSpacing"/>
        <w:numPr>
          <w:ilvl w:val="0"/>
          <w:numId w:val="12"/>
        </w:numPr>
      </w:pPr>
      <w:r>
        <w:t>Stones &lt;5mm</w:t>
      </w:r>
      <w:r w:rsidR="00DF671E" w:rsidRPr="00DF671E">
        <w:t xml:space="preserve"> pass spontaneously in 90 percent of patients</w:t>
      </w:r>
    </w:p>
    <w:p w:rsidR="009D0B62" w:rsidRDefault="00541047" w:rsidP="009D0B62">
      <w:pPr>
        <w:pStyle w:val="NoSpacing"/>
        <w:numPr>
          <w:ilvl w:val="0"/>
          <w:numId w:val="12"/>
        </w:numPr>
      </w:pPr>
      <w:r w:rsidRPr="00541047">
        <w:t>Straining urine — Patients should be instructed to strain their urine for several days and bring in any stone that passes for analysis to better plan preventive therapy</w:t>
      </w:r>
    </w:p>
    <w:p w:rsidR="009D0B62" w:rsidRDefault="00541047" w:rsidP="009D0B62">
      <w:pPr>
        <w:pStyle w:val="NoSpacing"/>
        <w:numPr>
          <w:ilvl w:val="0"/>
          <w:numId w:val="12"/>
        </w:numPr>
      </w:pPr>
      <w:r>
        <w:t>Medications can help f</w:t>
      </w:r>
      <w:r w:rsidRPr="00541047">
        <w:t>acilitating stone passage, including antispasmodic agents, calcium channel blockers, and alpha blockers</w:t>
      </w:r>
      <w:r w:rsidR="00BA5655">
        <w:t xml:space="preserve"> </w:t>
      </w:r>
    </w:p>
    <w:p w:rsidR="009D0B62" w:rsidRDefault="009D0B62" w:rsidP="009D0B62">
      <w:pPr>
        <w:pStyle w:val="NoSpacing"/>
        <w:numPr>
          <w:ilvl w:val="0"/>
          <w:numId w:val="12"/>
        </w:numPr>
      </w:pPr>
      <w:r w:rsidRPr="009D0B62">
        <w:t xml:space="preserve">Referral to a urologist is warranted when more than one stone is present, symptoms worsen with fever, renal function is impaired, stone passage is prolonged, </w:t>
      </w:r>
      <w:proofErr w:type="spellStart"/>
      <w:r w:rsidRPr="009D0B62">
        <w:t>hydronephrosis</w:t>
      </w:r>
      <w:proofErr w:type="spellEnd"/>
      <w:r w:rsidRPr="009D0B62">
        <w:t xml:space="preserve"> is diagnosed based on imaging findings, the patient is pregnant, or the stone is larger than 5 mm in diameter as measured using computed tomography or ultrasound</w:t>
      </w:r>
    </w:p>
    <w:p w:rsidR="00A36F12" w:rsidRDefault="00A36F12" w:rsidP="009D0B62">
      <w:pPr>
        <w:pStyle w:val="NoSpacing"/>
        <w:numPr>
          <w:ilvl w:val="0"/>
          <w:numId w:val="12"/>
        </w:numPr>
      </w:pPr>
      <w:r w:rsidRPr="00A36F12">
        <w:t xml:space="preserve">Current options for therapy of stones that do not pass include </w:t>
      </w:r>
    </w:p>
    <w:p w:rsidR="00A36F12" w:rsidRDefault="00A36F12" w:rsidP="00A36F12">
      <w:pPr>
        <w:pStyle w:val="NoSpacing"/>
        <w:numPr>
          <w:ilvl w:val="1"/>
          <w:numId w:val="12"/>
        </w:numPr>
      </w:pPr>
      <w:r>
        <w:t>shock wave lithotripsy (SWL): 1</w:t>
      </w:r>
      <w:r w:rsidRPr="00A36F12">
        <w:rPr>
          <w:vertAlign w:val="superscript"/>
        </w:rPr>
        <w:t>st</w:t>
      </w:r>
      <w:r>
        <w:t xml:space="preserve"> line management; </w:t>
      </w:r>
      <w:r w:rsidRPr="00A36F12">
        <w:t>treatment of choice in 75 percent of patients and works best for stones in the renal pelvis and upper ureter</w:t>
      </w:r>
      <w:r>
        <w:t>; a</w:t>
      </w:r>
      <w:r w:rsidRPr="00A36F12">
        <w:t xml:space="preserve">pproximately </w:t>
      </w:r>
      <w:r>
        <w:t>1/3</w:t>
      </w:r>
      <w:r w:rsidRPr="00A36F12">
        <w:t xml:space="preserve"> have transient mild fever, with obstruction by the stone fragments or urinary tract infection occurring in less than 10 percent of cases</w:t>
      </w:r>
    </w:p>
    <w:p w:rsidR="00A36F12" w:rsidRDefault="00A36F12" w:rsidP="00A36F12">
      <w:pPr>
        <w:pStyle w:val="NoSpacing"/>
        <w:numPr>
          <w:ilvl w:val="1"/>
          <w:numId w:val="12"/>
        </w:numPr>
      </w:pPr>
      <w:proofErr w:type="spellStart"/>
      <w:r w:rsidRPr="00A36F12">
        <w:t>ureteroscopic</w:t>
      </w:r>
      <w:proofErr w:type="spellEnd"/>
      <w:r w:rsidRPr="00A36F12">
        <w:t xml:space="preserve"> lithotripsy with el</w:t>
      </w:r>
      <w:r>
        <w:t>ectrohydraulic or laser probes: 1</w:t>
      </w:r>
      <w:r w:rsidRPr="00A36F12">
        <w:rPr>
          <w:vertAlign w:val="superscript"/>
        </w:rPr>
        <w:t>st</w:t>
      </w:r>
      <w:r>
        <w:t xml:space="preserve"> line management; yields</w:t>
      </w:r>
      <w:r w:rsidRPr="00A36F12">
        <w:t xml:space="preserve"> higher stone-free rates, but with an increased incidence of complications over shock wave lithotripsy</w:t>
      </w:r>
    </w:p>
    <w:p w:rsidR="00A36F12" w:rsidRDefault="00A36F12" w:rsidP="00BA5655">
      <w:pPr>
        <w:pStyle w:val="NoSpacing"/>
        <w:numPr>
          <w:ilvl w:val="1"/>
          <w:numId w:val="12"/>
        </w:numPr>
      </w:pPr>
      <w:r w:rsidRPr="00A36F12">
        <w:t xml:space="preserve">percutaneous </w:t>
      </w:r>
      <w:proofErr w:type="spellStart"/>
      <w:r w:rsidRPr="00A36F12">
        <w:t>nephrolithotomy</w:t>
      </w:r>
      <w:proofErr w:type="spellEnd"/>
      <w:r w:rsidRPr="00A36F12">
        <w:t xml:space="preserve"> </w:t>
      </w:r>
      <w:r w:rsidR="00BA5655">
        <w:t xml:space="preserve">or </w:t>
      </w:r>
      <w:r>
        <w:t>laparoscopic stone removal</w:t>
      </w:r>
    </w:p>
    <w:p w:rsidR="006C72F0" w:rsidRDefault="009D0B62" w:rsidP="006C72F0">
      <w:pPr>
        <w:pStyle w:val="NoSpacing"/>
        <w:numPr>
          <w:ilvl w:val="0"/>
          <w:numId w:val="15"/>
        </w:numPr>
      </w:pPr>
      <w:r>
        <w:t xml:space="preserve">24 hour urine collections: </w:t>
      </w:r>
      <w:r w:rsidR="001A437B">
        <w:t>need at least 2, possibly a 3</w:t>
      </w:r>
      <w:r w:rsidR="001A437B" w:rsidRPr="001A437B">
        <w:rPr>
          <w:vertAlign w:val="superscript"/>
        </w:rPr>
        <w:t>rd</w:t>
      </w:r>
      <w:r w:rsidR="001A437B">
        <w:t xml:space="preserve"> if great variability between the 2;  obtain</w:t>
      </w:r>
      <w:r w:rsidRPr="009D0B62">
        <w:t xml:space="preserve"> in the outpatient setting when the patient is on his or her usual diet</w:t>
      </w:r>
      <w:r w:rsidR="001A437B">
        <w:t>;</w:t>
      </w:r>
      <w:r w:rsidRPr="009D0B62">
        <w:t xml:space="preserve"> wait at least one to three months after a stone event to obtain the collections and make sure that the urine is not infected or th</w:t>
      </w:r>
      <w:r w:rsidR="001A437B">
        <w:t>e collecting system obstructed</w:t>
      </w:r>
    </w:p>
    <w:p w:rsidR="001A437B" w:rsidRDefault="001A437B" w:rsidP="001A437B">
      <w:pPr>
        <w:pStyle w:val="NoSpacing"/>
        <w:ind w:left="720"/>
      </w:pPr>
    </w:p>
    <w:p w:rsidR="00A36F12" w:rsidRPr="00A36F12" w:rsidRDefault="00A36F12" w:rsidP="006C72F0">
      <w:pPr>
        <w:pStyle w:val="NoSpacing"/>
        <w:rPr>
          <w:b/>
          <w:u w:val="single"/>
        </w:rPr>
      </w:pPr>
      <w:r w:rsidRPr="00A36F12">
        <w:rPr>
          <w:b/>
          <w:u w:val="single"/>
        </w:rPr>
        <w:t>Prevention</w:t>
      </w:r>
    </w:p>
    <w:p w:rsidR="00A36F12" w:rsidRPr="00A36F12" w:rsidRDefault="009D0B62" w:rsidP="00A36F12">
      <w:pPr>
        <w:pStyle w:val="NoSpacing"/>
        <w:numPr>
          <w:ilvl w:val="0"/>
          <w:numId w:val="15"/>
        </w:numPr>
      </w:pPr>
      <w:r>
        <w:t>Increased</w:t>
      </w:r>
      <w:r w:rsidR="00A36F12">
        <w:t xml:space="preserve"> fluid intake (approx. 2L daily)</w:t>
      </w:r>
    </w:p>
    <w:p w:rsidR="00A36F12" w:rsidRPr="00A36F12" w:rsidRDefault="00A36F12" w:rsidP="00A36F12">
      <w:pPr>
        <w:pStyle w:val="NoSpacing"/>
        <w:numPr>
          <w:ilvl w:val="0"/>
          <w:numId w:val="15"/>
        </w:numPr>
      </w:pPr>
      <w:r w:rsidRPr="00A36F12">
        <w:t>Dietary recommendations tailored to the individual's habits and urine</w:t>
      </w:r>
      <w:r w:rsidR="00820EE9">
        <w:t xml:space="preserve"> composition may be beneficial </w:t>
      </w:r>
    </w:p>
    <w:p w:rsidR="00A36F12" w:rsidRPr="00A36F12" w:rsidRDefault="00A36F12" w:rsidP="00A36F12">
      <w:pPr>
        <w:pStyle w:val="NoSpacing"/>
        <w:numPr>
          <w:ilvl w:val="0"/>
          <w:numId w:val="15"/>
        </w:numPr>
      </w:pPr>
      <w:r w:rsidRPr="00A36F12">
        <w:t xml:space="preserve">Patients with calcium stones who cannot be solely managed with dietary modifications can be treated with a thiazide diuretic and low sodium diet for </w:t>
      </w:r>
      <w:proofErr w:type="spellStart"/>
      <w:r w:rsidRPr="00A36F12">
        <w:t>hypercalciuria</w:t>
      </w:r>
      <w:proofErr w:type="spellEnd"/>
      <w:r w:rsidRPr="00A36F12">
        <w:t xml:space="preserve">, allopurinol for hyperuricosuria, and potassium citrate for </w:t>
      </w:r>
      <w:proofErr w:type="spellStart"/>
      <w:r w:rsidRPr="00A36F12">
        <w:t>hypocitraturia</w:t>
      </w:r>
      <w:proofErr w:type="spellEnd"/>
      <w:r w:rsidRPr="00A36F12">
        <w:t xml:space="preserve">. </w:t>
      </w:r>
    </w:p>
    <w:p w:rsidR="00A36F12" w:rsidRPr="00A36F12" w:rsidRDefault="00A36F12" w:rsidP="00A36F12">
      <w:pPr>
        <w:pStyle w:val="NoSpacing"/>
        <w:numPr>
          <w:ilvl w:val="0"/>
          <w:numId w:val="15"/>
        </w:numPr>
      </w:pPr>
      <w:r w:rsidRPr="00A36F12">
        <w:t xml:space="preserve">Patients with uric acid stones can be treated with potassium citrate to alkalinize the urine and occasionally allopurinol (for patients with severe hyperuricosuria). </w:t>
      </w:r>
    </w:p>
    <w:p w:rsidR="00A36F12" w:rsidRPr="00A36F12" w:rsidRDefault="00A36F12" w:rsidP="00A36F12">
      <w:pPr>
        <w:pStyle w:val="NoSpacing"/>
        <w:numPr>
          <w:ilvl w:val="0"/>
          <w:numId w:val="15"/>
        </w:numPr>
      </w:pPr>
      <w:r w:rsidRPr="00A36F12">
        <w:t xml:space="preserve">Patients with </w:t>
      </w:r>
      <w:proofErr w:type="spellStart"/>
      <w:r w:rsidRPr="00A36F12">
        <w:t>cystine</w:t>
      </w:r>
      <w:proofErr w:type="spellEnd"/>
      <w:r w:rsidRPr="00A36F12">
        <w:t xml:space="preserve"> stones can be treated with a high fluid intake, urinary </w:t>
      </w:r>
      <w:proofErr w:type="spellStart"/>
      <w:r w:rsidRPr="00A36F12">
        <w:t>alkalinization</w:t>
      </w:r>
      <w:proofErr w:type="spellEnd"/>
      <w:r w:rsidRPr="00A36F12">
        <w:t xml:space="preserve">, and drugs such as </w:t>
      </w:r>
      <w:proofErr w:type="spellStart"/>
      <w:r w:rsidRPr="00A36F12">
        <w:t>tiopronin</w:t>
      </w:r>
      <w:proofErr w:type="spellEnd"/>
      <w:r w:rsidRPr="00A36F12">
        <w:t xml:space="preserve">. </w:t>
      </w:r>
    </w:p>
    <w:p w:rsidR="007A15B3" w:rsidRDefault="00A36F12" w:rsidP="007A15B3">
      <w:pPr>
        <w:pStyle w:val="NoSpacing"/>
        <w:numPr>
          <w:ilvl w:val="0"/>
          <w:numId w:val="15"/>
        </w:numPr>
      </w:pPr>
      <w:proofErr w:type="spellStart"/>
      <w:r w:rsidRPr="00A36F12">
        <w:t>Struvite</w:t>
      </w:r>
      <w:proofErr w:type="spellEnd"/>
      <w:r w:rsidRPr="00A36F12">
        <w:t xml:space="preserve"> stones typically require complete stone removal with percutaneous </w:t>
      </w:r>
      <w:proofErr w:type="spellStart"/>
      <w:r w:rsidRPr="00A36F12">
        <w:t>nephrolithotomy</w:t>
      </w:r>
      <w:proofErr w:type="spellEnd"/>
      <w:r w:rsidRPr="00A36F12">
        <w:t xml:space="preserve"> and aggressive prevention and treatment of </w:t>
      </w:r>
      <w:r w:rsidR="003E4804">
        <w:t>future urinary tract infections</w:t>
      </w:r>
      <w:bookmarkStart w:id="0" w:name="_GoBack"/>
      <w:bookmarkEnd w:id="0"/>
    </w:p>
    <w:p w:rsidR="007A15B3" w:rsidRDefault="007A15B3"/>
    <w:sectPr w:rsidR="007A15B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8BA" w:rsidRDefault="004528BA" w:rsidP="00BA5655">
      <w:pPr>
        <w:spacing w:after="0" w:line="240" w:lineRule="auto"/>
      </w:pPr>
      <w:r>
        <w:separator/>
      </w:r>
    </w:p>
  </w:endnote>
  <w:endnote w:type="continuationSeparator" w:id="0">
    <w:p w:rsidR="004528BA" w:rsidRDefault="004528BA" w:rsidP="00BA5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655" w:rsidRDefault="00BA5655" w:rsidP="00BA5655">
    <w:pPr>
      <w:pStyle w:val="Footer"/>
    </w:pPr>
    <w:r>
      <w:t>Sources</w:t>
    </w:r>
    <w:r w:rsidR="003E4804">
      <w:t xml:space="preserve">:  </w:t>
    </w:r>
    <w:proofErr w:type="spellStart"/>
    <w:r w:rsidR="003E4804">
      <w:t>Uptodate</w:t>
    </w:r>
    <w:proofErr w:type="spellEnd"/>
    <w:r w:rsidR="003E4804">
      <w:t xml:space="preserve"> and </w:t>
    </w:r>
    <w:r w:rsidR="003E4804" w:rsidRPr="003E4804">
      <w:t xml:space="preserve">AAFP nephrolithiasis 2011 article online </w:t>
    </w:r>
    <w:r w:rsidR="003E4804">
      <w:t>(contain</w:t>
    </w:r>
    <w:r>
      <w:t xml:space="preserve"> algorithm</w:t>
    </w:r>
    <w:r w:rsidR="003E4804">
      <w:t>s</w:t>
    </w:r>
    <w:r>
      <w:t xml:space="preserve"> from diagnosis to treatme</w:t>
    </w:r>
    <w:r w:rsidR="003E4804">
      <w:t xml:space="preserve">nt) &amp; </w:t>
    </w:r>
    <w:proofErr w:type="spellStart"/>
    <w:r>
      <w:t>Pepid</w:t>
    </w:r>
    <w:proofErr w:type="spellEnd"/>
    <w:r>
      <w:t>: PCP Platinum Suite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8BA" w:rsidRDefault="004528BA" w:rsidP="00BA5655">
      <w:pPr>
        <w:spacing w:after="0" w:line="240" w:lineRule="auto"/>
      </w:pPr>
      <w:r>
        <w:separator/>
      </w:r>
    </w:p>
  </w:footnote>
  <w:footnote w:type="continuationSeparator" w:id="0">
    <w:p w:rsidR="004528BA" w:rsidRDefault="004528BA" w:rsidP="00BA56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E03F4"/>
    <w:multiLevelType w:val="hybridMultilevel"/>
    <w:tmpl w:val="B00C3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A4261"/>
    <w:multiLevelType w:val="hybridMultilevel"/>
    <w:tmpl w:val="70F4C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3F7DE6"/>
    <w:multiLevelType w:val="hybridMultilevel"/>
    <w:tmpl w:val="83F48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010C4B"/>
    <w:multiLevelType w:val="hybridMultilevel"/>
    <w:tmpl w:val="83D87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FB64CF"/>
    <w:multiLevelType w:val="hybridMultilevel"/>
    <w:tmpl w:val="7BF85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DD4CC2"/>
    <w:multiLevelType w:val="hybridMultilevel"/>
    <w:tmpl w:val="1F345D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184BE4"/>
    <w:multiLevelType w:val="hybridMultilevel"/>
    <w:tmpl w:val="4980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F221F2"/>
    <w:multiLevelType w:val="hybridMultilevel"/>
    <w:tmpl w:val="F982A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0B5B13"/>
    <w:multiLevelType w:val="hybridMultilevel"/>
    <w:tmpl w:val="41C21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664FF0"/>
    <w:multiLevelType w:val="hybridMultilevel"/>
    <w:tmpl w:val="EC984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697518"/>
    <w:multiLevelType w:val="hybridMultilevel"/>
    <w:tmpl w:val="F560F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C479C6"/>
    <w:multiLevelType w:val="hybridMultilevel"/>
    <w:tmpl w:val="F7F4E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077256"/>
    <w:multiLevelType w:val="hybridMultilevel"/>
    <w:tmpl w:val="1988B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825434"/>
    <w:multiLevelType w:val="hybridMultilevel"/>
    <w:tmpl w:val="12F6C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2A2803"/>
    <w:multiLevelType w:val="hybridMultilevel"/>
    <w:tmpl w:val="8946A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380F22"/>
    <w:multiLevelType w:val="hybridMultilevel"/>
    <w:tmpl w:val="7298A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711BDB"/>
    <w:multiLevelType w:val="hybridMultilevel"/>
    <w:tmpl w:val="B23C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4"/>
  </w:num>
  <w:num w:numId="4">
    <w:abstractNumId w:val="5"/>
  </w:num>
  <w:num w:numId="5">
    <w:abstractNumId w:val="9"/>
  </w:num>
  <w:num w:numId="6">
    <w:abstractNumId w:val="16"/>
  </w:num>
  <w:num w:numId="7">
    <w:abstractNumId w:val="8"/>
  </w:num>
  <w:num w:numId="8">
    <w:abstractNumId w:val="6"/>
  </w:num>
  <w:num w:numId="9">
    <w:abstractNumId w:val="2"/>
  </w:num>
  <w:num w:numId="10">
    <w:abstractNumId w:val="1"/>
  </w:num>
  <w:num w:numId="11">
    <w:abstractNumId w:val="15"/>
  </w:num>
  <w:num w:numId="12">
    <w:abstractNumId w:val="13"/>
  </w:num>
  <w:num w:numId="13">
    <w:abstractNumId w:val="10"/>
  </w:num>
  <w:num w:numId="14">
    <w:abstractNumId w:val="11"/>
  </w:num>
  <w:num w:numId="15">
    <w:abstractNumId w:val="12"/>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5B3"/>
    <w:rsid w:val="001149D7"/>
    <w:rsid w:val="001A437B"/>
    <w:rsid w:val="00206DDE"/>
    <w:rsid w:val="00296CF6"/>
    <w:rsid w:val="003E4804"/>
    <w:rsid w:val="004528BA"/>
    <w:rsid w:val="00541047"/>
    <w:rsid w:val="006C72F0"/>
    <w:rsid w:val="006F0D43"/>
    <w:rsid w:val="007A15B3"/>
    <w:rsid w:val="007F78E0"/>
    <w:rsid w:val="00820EE9"/>
    <w:rsid w:val="009D0B62"/>
    <w:rsid w:val="00A36F12"/>
    <w:rsid w:val="00AE160F"/>
    <w:rsid w:val="00BA5655"/>
    <w:rsid w:val="00C22952"/>
    <w:rsid w:val="00CF6DED"/>
    <w:rsid w:val="00DF671E"/>
    <w:rsid w:val="00E134CA"/>
    <w:rsid w:val="00EC7F4B"/>
    <w:rsid w:val="00F86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15B3"/>
    <w:pPr>
      <w:spacing w:after="0" w:line="240" w:lineRule="auto"/>
    </w:pPr>
  </w:style>
  <w:style w:type="paragraph" w:styleId="ListParagraph">
    <w:name w:val="List Paragraph"/>
    <w:basedOn w:val="Normal"/>
    <w:uiPriority w:val="34"/>
    <w:qFormat/>
    <w:rsid w:val="00E134CA"/>
    <w:pPr>
      <w:ind w:left="720"/>
      <w:contextualSpacing/>
    </w:pPr>
  </w:style>
  <w:style w:type="paragraph" w:styleId="BalloonText">
    <w:name w:val="Balloon Text"/>
    <w:basedOn w:val="Normal"/>
    <w:link w:val="BalloonTextChar"/>
    <w:uiPriority w:val="99"/>
    <w:semiHidden/>
    <w:unhideWhenUsed/>
    <w:rsid w:val="00AE1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60F"/>
    <w:rPr>
      <w:rFonts w:ascii="Tahoma" w:hAnsi="Tahoma" w:cs="Tahoma"/>
      <w:sz w:val="16"/>
      <w:szCs w:val="16"/>
    </w:rPr>
  </w:style>
  <w:style w:type="character" w:styleId="Hyperlink">
    <w:name w:val="Hyperlink"/>
    <w:basedOn w:val="DefaultParagraphFont"/>
    <w:uiPriority w:val="99"/>
    <w:unhideWhenUsed/>
    <w:rsid w:val="00AE160F"/>
    <w:rPr>
      <w:color w:val="0000FF" w:themeColor="hyperlink"/>
      <w:u w:val="single"/>
    </w:rPr>
  </w:style>
  <w:style w:type="paragraph" w:styleId="Header">
    <w:name w:val="header"/>
    <w:basedOn w:val="Normal"/>
    <w:link w:val="HeaderChar"/>
    <w:uiPriority w:val="99"/>
    <w:unhideWhenUsed/>
    <w:rsid w:val="00BA56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655"/>
  </w:style>
  <w:style w:type="paragraph" w:styleId="Footer">
    <w:name w:val="footer"/>
    <w:basedOn w:val="Normal"/>
    <w:link w:val="FooterChar"/>
    <w:uiPriority w:val="99"/>
    <w:unhideWhenUsed/>
    <w:rsid w:val="00BA56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6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15B3"/>
    <w:pPr>
      <w:spacing w:after="0" w:line="240" w:lineRule="auto"/>
    </w:pPr>
  </w:style>
  <w:style w:type="paragraph" w:styleId="ListParagraph">
    <w:name w:val="List Paragraph"/>
    <w:basedOn w:val="Normal"/>
    <w:uiPriority w:val="34"/>
    <w:qFormat/>
    <w:rsid w:val="00E134CA"/>
    <w:pPr>
      <w:ind w:left="720"/>
      <w:contextualSpacing/>
    </w:pPr>
  </w:style>
  <w:style w:type="paragraph" w:styleId="BalloonText">
    <w:name w:val="Balloon Text"/>
    <w:basedOn w:val="Normal"/>
    <w:link w:val="BalloonTextChar"/>
    <w:uiPriority w:val="99"/>
    <w:semiHidden/>
    <w:unhideWhenUsed/>
    <w:rsid w:val="00AE16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60F"/>
    <w:rPr>
      <w:rFonts w:ascii="Tahoma" w:hAnsi="Tahoma" w:cs="Tahoma"/>
      <w:sz w:val="16"/>
      <w:szCs w:val="16"/>
    </w:rPr>
  </w:style>
  <w:style w:type="character" w:styleId="Hyperlink">
    <w:name w:val="Hyperlink"/>
    <w:basedOn w:val="DefaultParagraphFont"/>
    <w:uiPriority w:val="99"/>
    <w:unhideWhenUsed/>
    <w:rsid w:val="00AE160F"/>
    <w:rPr>
      <w:color w:val="0000FF" w:themeColor="hyperlink"/>
      <w:u w:val="single"/>
    </w:rPr>
  </w:style>
  <w:style w:type="paragraph" w:styleId="Header">
    <w:name w:val="header"/>
    <w:basedOn w:val="Normal"/>
    <w:link w:val="HeaderChar"/>
    <w:uiPriority w:val="99"/>
    <w:unhideWhenUsed/>
    <w:rsid w:val="00BA56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655"/>
  </w:style>
  <w:style w:type="paragraph" w:styleId="Footer">
    <w:name w:val="footer"/>
    <w:basedOn w:val="Normal"/>
    <w:link w:val="FooterChar"/>
    <w:uiPriority w:val="99"/>
    <w:unhideWhenUsed/>
    <w:rsid w:val="00BA56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208687">
      <w:bodyDiv w:val="1"/>
      <w:marLeft w:val="0"/>
      <w:marRight w:val="0"/>
      <w:marTop w:val="0"/>
      <w:marBottom w:val="0"/>
      <w:divBdr>
        <w:top w:val="none" w:sz="0" w:space="0" w:color="auto"/>
        <w:left w:val="none" w:sz="0" w:space="0" w:color="auto"/>
        <w:bottom w:val="none" w:sz="0" w:space="0" w:color="auto"/>
        <w:right w:val="none" w:sz="0" w:space="0" w:color="auto"/>
      </w:divBdr>
      <w:divsChild>
        <w:div w:id="1395010060">
          <w:marLeft w:val="0"/>
          <w:marRight w:val="0"/>
          <w:marTop w:val="0"/>
          <w:marBottom w:val="0"/>
          <w:divBdr>
            <w:top w:val="none" w:sz="0" w:space="0" w:color="auto"/>
            <w:left w:val="none" w:sz="0" w:space="0" w:color="auto"/>
            <w:bottom w:val="none" w:sz="0" w:space="0" w:color="auto"/>
            <w:right w:val="none" w:sz="0" w:space="0" w:color="auto"/>
          </w:divBdr>
          <w:divsChild>
            <w:div w:id="1720477635">
              <w:marLeft w:val="0"/>
              <w:marRight w:val="0"/>
              <w:marTop w:val="0"/>
              <w:marBottom w:val="0"/>
              <w:divBdr>
                <w:top w:val="none" w:sz="0" w:space="0" w:color="auto"/>
                <w:left w:val="none" w:sz="0" w:space="0" w:color="auto"/>
                <w:bottom w:val="none" w:sz="0" w:space="0" w:color="auto"/>
                <w:right w:val="none" w:sz="0" w:space="0" w:color="auto"/>
              </w:divBdr>
              <w:divsChild>
                <w:div w:id="193000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760892">
      <w:bodyDiv w:val="1"/>
      <w:marLeft w:val="0"/>
      <w:marRight w:val="0"/>
      <w:marTop w:val="0"/>
      <w:marBottom w:val="0"/>
      <w:divBdr>
        <w:top w:val="none" w:sz="0" w:space="0" w:color="auto"/>
        <w:left w:val="none" w:sz="0" w:space="0" w:color="auto"/>
        <w:bottom w:val="none" w:sz="0" w:space="0" w:color="auto"/>
        <w:right w:val="none" w:sz="0" w:space="0" w:color="auto"/>
      </w:divBdr>
      <w:divsChild>
        <w:div w:id="1410925459">
          <w:marLeft w:val="0"/>
          <w:marRight w:val="0"/>
          <w:marTop w:val="0"/>
          <w:marBottom w:val="0"/>
          <w:divBdr>
            <w:top w:val="none" w:sz="0" w:space="0" w:color="auto"/>
            <w:left w:val="none" w:sz="0" w:space="0" w:color="auto"/>
            <w:bottom w:val="none" w:sz="0" w:space="0" w:color="auto"/>
            <w:right w:val="none" w:sz="0" w:space="0" w:color="auto"/>
          </w:divBdr>
          <w:divsChild>
            <w:div w:id="626398615">
              <w:marLeft w:val="0"/>
              <w:marRight w:val="0"/>
              <w:marTop w:val="0"/>
              <w:marBottom w:val="0"/>
              <w:divBdr>
                <w:top w:val="none" w:sz="0" w:space="0" w:color="auto"/>
                <w:left w:val="none" w:sz="0" w:space="0" w:color="auto"/>
                <w:bottom w:val="none" w:sz="0" w:space="0" w:color="auto"/>
                <w:right w:val="none" w:sz="0" w:space="0" w:color="auto"/>
              </w:divBdr>
              <w:divsChild>
                <w:div w:id="180245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438659">
      <w:bodyDiv w:val="1"/>
      <w:marLeft w:val="0"/>
      <w:marRight w:val="0"/>
      <w:marTop w:val="0"/>
      <w:marBottom w:val="0"/>
      <w:divBdr>
        <w:top w:val="none" w:sz="0" w:space="0" w:color="auto"/>
        <w:left w:val="none" w:sz="0" w:space="0" w:color="auto"/>
        <w:bottom w:val="none" w:sz="0" w:space="0" w:color="auto"/>
        <w:right w:val="none" w:sz="0" w:space="0" w:color="auto"/>
      </w:divBdr>
      <w:divsChild>
        <w:div w:id="1871145346">
          <w:marLeft w:val="0"/>
          <w:marRight w:val="0"/>
          <w:marTop w:val="0"/>
          <w:marBottom w:val="0"/>
          <w:divBdr>
            <w:top w:val="none" w:sz="0" w:space="0" w:color="auto"/>
            <w:left w:val="none" w:sz="0" w:space="0" w:color="auto"/>
            <w:bottom w:val="none" w:sz="0" w:space="0" w:color="auto"/>
            <w:right w:val="none" w:sz="0" w:space="0" w:color="auto"/>
          </w:divBdr>
          <w:divsChild>
            <w:div w:id="2066829954">
              <w:marLeft w:val="0"/>
              <w:marRight w:val="0"/>
              <w:marTop w:val="0"/>
              <w:marBottom w:val="0"/>
              <w:divBdr>
                <w:top w:val="none" w:sz="0" w:space="0" w:color="auto"/>
                <w:left w:val="none" w:sz="0" w:space="0" w:color="auto"/>
                <w:bottom w:val="none" w:sz="0" w:space="0" w:color="auto"/>
                <w:right w:val="none" w:sz="0" w:space="0" w:color="auto"/>
              </w:divBdr>
              <w:divsChild>
                <w:div w:id="12939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093752">
      <w:bodyDiv w:val="1"/>
      <w:marLeft w:val="0"/>
      <w:marRight w:val="0"/>
      <w:marTop w:val="0"/>
      <w:marBottom w:val="0"/>
      <w:divBdr>
        <w:top w:val="none" w:sz="0" w:space="0" w:color="auto"/>
        <w:left w:val="none" w:sz="0" w:space="0" w:color="auto"/>
        <w:bottom w:val="none" w:sz="0" w:space="0" w:color="auto"/>
        <w:right w:val="none" w:sz="0" w:space="0" w:color="auto"/>
      </w:divBdr>
      <w:divsChild>
        <w:div w:id="1504052404">
          <w:marLeft w:val="0"/>
          <w:marRight w:val="0"/>
          <w:marTop w:val="0"/>
          <w:marBottom w:val="0"/>
          <w:divBdr>
            <w:top w:val="none" w:sz="0" w:space="0" w:color="auto"/>
            <w:left w:val="none" w:sz="0" w:space="0" w:color="auto"/>
            <w:bottom w:val="none" w:sz="0" w:space="0" w:color="auto"/>
            <w:right w:val="none" w:sz="0" w:space="0" w:color="auto"/>
          </w:divBdr>
          <w:divsChild>
            <w:div w:id="21446986">
              <w:marLeft w:val="0"/>
              <w:marRight w:val="0"/>
              <w:marTop w:val="0"/>
              <w:marBottom w:val="0"/>
              <w:divBdr>
                <w:top w:val="none" w:sz="0" w:space="0" w:color="auto"/>
                <w:left w:val="none" w:sz="0" w:space="0" w:color="auto"/>
                <w:bottom w:val="none" w:sz="0" w:space="0" w:color="auto"/>
                <w:right w:val="none" w:sz="0" w:space="0" w:color="auto"/>
              </w:divBdr>
              <w:divsChild>
                <w:div w:id="6807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1194</Words>
  <Characters>6808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MARTINEZ HEALTH CENTER</dc:creator>
  <cp:lastModifiedBy>Erica Dorfman</cp:lastModifiedBy>
  <cp:revision>2</cp:revision>
  <dcterms:created xsi:type="dcterms:W3CDTF">2015-01-16T07:26:00Z</dcterms:created>
  <dcterms:modified xsi:type="dcterms:W3CDTF">2015-01-16T07:26:00Z</dcterms:modified>
</cp:coreProperties>
</file>